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s>
        <w:jc w:val="end"/>
        <w:rPr/>
      </w:pPr>
      <w:r>
        <w:rPr/>
        <w:t>4° trimestre 2026</w:t>
      </w:r>
    </w:p>
    <w:p>
      <w:pPr>
        <w:pStyle w:val="inVerseRifLezione"/>
        <w:tabs>
          <w:tab w:val="clear" w:pos="708"/>
          <w:tab w:val="left" w:pos="3047" w:leader="none"/>
        </w:tabs>
        <w:jc w:val="end"/>
        <w:rPr/>
      </w:pPr>
      <w:r>
        <w:rPr/>
      </w:r>
    </w:p>
    <w:p>
      <w:pPr>
        <w:pStyle w:val="Heading1"/>
        <w:rPr/>
      </w:pPr>
      <w:r>
        <w:rPr/>
        <w:t>Il dono della profezia</w:t>
      </w:r>
    </w:p>
    <w:p>
      <w:pPr>
        <w:pStyle w:val="inVerseCorpo"/>
        <w:rPr>
          <w:kern w:val="2"/>
        </w:rPr>
      </w:pPr>
      <w:r>
        <w:rPr/>
        <w:t>I neuroscienziati hanno iniziato a comprendere l’incredibile capacità dei bambini di apprendere le lingue. All’età di sei mesi, i bambini possono comprendere i suoni che costituiscono qualsiasi delle più di settemila lingue parlate nel mondo. Se esposti a una seconda lingua, possono acquisire anche quella lingua. In questo periodo, si apre una misteriosa porta mentale che permette ai bambini di distinguere la quarantina di suoni che generalmente formano una lingua madre dagli ottocento suoni diversi che possono percepire alla nascita. Ma c’è una condizione: bisogna parlare ai neonati. Si potrebbero definire lezioni di voce per neonati.</w:t>
      </w:r>
    </w:p>
    <w:p>
      <w:pPr>
        <w:pStyle w:val="inVerseCorpo"/>
        <w:rPr>
          <w:kern w:val="2"/>
        </w:rPr>
      </w:pPr>
      <w:r>
        <w:rPr/>
        <w:t>Perché Dio ci avrebbe creato con questa meravigliosa capacità di riconoscere la parola e acquisire le lingue se non avesse avuto l’intenzione di parlarci? È una domanda retorica, ovviamente; la Bibbia dichiara: «Dio, dopo aver parlato anticamente molte volte e in molte maniere ai padri per mezzo dei profeti, in questi ultimi giorni ha parlato a noi per mezzo del Figlio, che egli ha costituito erede di tutte le cose, mediante il quale ha pure creato i mondi» (Ebrei 1:1, 2).</w:t>
      </w:r>
    </w:p>
    <w:p>
      <w:pPr>
        <w:pStyle w:val="inVerseCorpo"/>
        <w:rPr/>
      </w:pPr>
      <w:r>
        <w:rPr/>
        <w:t>Quando il peccato frantumò la comunione di Adamo ed Eva con Dio, egli non se ne lavò le mani lasciandoli ad autodistruggersi. Andò a cercarli entrambi, chiedendo ad Adamo: «Dove sei?» (Genesi 3:9). Proseguì profetizzando la nascita di Colui che avrebbe salvato il mondo dal peccato (Genesi 3:15). Fin dall’inizio, proprio lì nell’Eden, proprio dopo la caduta, la profezia esaltò Gesù e diresse i peccatori a lui, la nostra unica speranza. Questo trimestre studieremo il dono della profezia, uno dei metodi ingegnosi di Dio per comunicare la sua volontà agli esseri umani caduti, che non possono più comunicare faccia a faccia con lui. Questo dono speciale dello Spirito Santo è menzionato in 1 Corinzi 12, 1 Corinzi 14, Efesini 4 e Romani 12. Lo Spirito Santo è il grande erogatore di questo dono spirituale: «distribuendo i doni a ciascuno in particolare come vuole» (1 Corinzi 12:11). Nel tempo, portavoce spiritualmente dotati hanno annunciato i messaggi divini per ripristinare e rinnovare la nostra relazione con Dio, come Dio fece in Eden dopo la caduta.</w:t>
      </w:r>
    </w:p>
    <w:p>
      <w:pPr>
        <w:pStyle w:val="inVerseCorpo"/>
        <w:rPr>
          <w:kern w:val="2"/>
        </w:rPr>
      </w:pPr>
      <w:r>
        <w:rPr/>
        <w:t>Esploreremo il modo in cui Dio chiama i profeti e come possiamo mettere alla prova la loro autenticità. Vedremo le somiglianze e le differenze tra i profeti dell’Antico e quelli del Nuovo Testamento oltre ad acquisire una comprensione pratica di come la rivelazione e l’ispirazione agissero nella loro vita. Alcuni profeti parlavano, altri scrivevano e alcuni facevano entrambe le cose. Esamineremo questi e altri metodi di rivelazione divina, le loro conseguenze e le benedizioni nell’ubbidire ai messaggi portati da questi profeti. Dio si serve del dono di profezia per cinque scopi cruciali: 1. Per rivelare se stesso, la sua verità e la sua volontà per l’umanità caduta; 2. Per dare informazioni e consigli riguardo eventi e avvenimenti importanti; 3. Per attrezzare alla missione il corpo di Cristo: la chiesa; 4. Per fornire incoraggiamento spirituale ai suoi discepoli; e 5. Per risvegliare i peccatori e chiamarli al ravvedimento. Inoltre, “lo spirito della profezia” è uno dei segni distintivi della chiesa rimanente di Dio dei tempi della fine (Apocalisse 12:17; 19:10).</w:t>
      </w:r>
    </w:p>
    <w:p>
      <w:pPr>
        <w:pStyle w:val="inVerseCorpo"/>
        <w:rPr>
          <w:kern w:val="2"/>
        </w:rPr>
      </w:pPr>
      <w:r>
        <w:rPr/>
        <w:t>Dio si impegna così tanto a guidare chi è perduto verso casa che fornisce il dono della profezia anche per gli ultimi giorni (Gioele 2:28-31). Gli avventisti del settimo giorno credono che Ellen G. White, cofondatrice della</w:t>
      </w:r>
    </w:p>
    <w:p>
      <w:pPr>
        <w:pStyle w:val="inVerseCorpo"/>
        <w:rPr>
          <w:kern w:val="2"/>
        </w:rPr>
      </w:pPr>
      <w:r>
        <w:rPr/>
        <w:t>chiesa, abbia esercitato una manifestazione moderna del dono profetico. Questa convinzione è il motivo per cui dedicheremo una sezione della lezione ogni settimana all’esplorazione delle dinamiche della chiamata di Ellen White al ministero profetico. Noi come chiesa abbiamo ricevuto questo dono meraviglioso. Come lo sfruttiamo al meglio?</w:t>
      </w:r>
    </w:p>
    <w:p>
      <w:pPr>
        <w:pStyle w:val="inVerseCorpo"/>
        <w:rPr>
          <w:kern w:val="2"/>
        </w:rPr>
      </w:pPr>
      <w:r>
        <w:rPr/>
        <w:t>Dall’infanzia in poi, siamo fatti per ascoltare ciò che ci viene detto. È molto importante, allora, che ascoltiamo ciò che i profeti di Dio ci dicono!</w:t>
      </w:r>
    </w:p>
    <w:p>
      <w:pPr>
        <w:pStyle w:val="inVerseNota"/>
        <w:rPr>
          <w:kern w:val="2"/>
        </w:rPr>
      </w:pPr>
      <w:r>
        <w:rPr/>
        <w:t>Questa guida allo studio inVerse è stata prodotta dal team pastorale della White Estate a Silver Spring, Maryland (www.WhiteEstate.org). Condividendo gli scritti e il ministero profetico di Ellen White in tutto il mondo (www.EGWWritings.org), la Ellen G. White Estate, Inc., sostiene la missione della chiesa avventista del settimo giorno nell’esaltare Gesù Cristo e la sua Parola.</w:t>
      </w:r>
    </w:p>
    <w:sectPr>
      <w:headerReference w:type="default" r:id="rId4"/>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Verdana">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2</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isplayBackgroundShape/>
  <w:defaultTabStop w:val="708"/>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DefaultParagraphFont">
    <w:name w:val="Default Paragraph Font"/>
    <w:qFormat/>
    <w:rPr/>
  </w:style>
  <w:style w:type="character" w:styleId="WW8Num1z0">
    <w:name w:val="WW8Num1z0"/>
    <w:qFormat/>
    <w:rPr/>
  </w:style>
  <w:style w:type="character" w:styleId="WW8Num2z0">
    <w:name w:val="WW8Num2z0"/>
    <w:qFormat/>
    <w:rPr>
      <w:rFonts w:ascii="Symbol" w:hAnsi="Symbol" w:cs="Symbol"/>
    </w:rPr>
  </w:style>
  <w:style w:type="character" w:styleId="WW8Num3z0">
    <w:name w:val="WW8Num3z0"/>
    <w:qFormat/>
    <w:rPr/>
  </w:style>
  <w:style w:type="character" w:styleId="WW8Num4z0">
    <w:name w:val="WW8Num4z0"/>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Arial" w:hAnsi="Arial" w:cs="Arial"/>
    </w:rPr>
  </w:style>
  <w:style w:type="character" w:styleId="WW8Num22z0">
    <w:name w:val="WW8Num22z0"/>
    <w:qFormat/>
    <w:rPr>
      <w:rFonts w:ascii="Symbol" w:hAnsi="Symbol" w:cs="Symbol"/>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DefaultParagraphFont">
    <w:name w:val="WW-Default Paragraph Font"/>
    <w:qFormat/>
    <w:rPr/>
  </w:style>
  <w:style w:type="character" w:styleId="pr">
    <w:name w:val="pr"/>
    <w:basedOn w:val="WW-DefaultParagraphFont"/>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
    <w:qFormat/>
    <w:rPr/>
  </w:style>
  <w:style w:type="character" w:styleId="definizione">
    <w:name w:val="definizione"/>
    <w:basedOn w:val="WW-DefaultParagraphFont"/>
    <w:qFormat/>
    <w:rPr/>
  </w:style>
  <w:style w:type="character" w:styleId="Caratterinotaapidipagina">
    <w:name w:val="Caratteri nota a piè di pagina"/>
    <w:qFormat/>
    <w:rPr>
      <w:vertAlign w:val="superscript"/>
    </w:rPr>
  </w:style>
  <w:style w:type="character" w:styleId="text">
    <w:name w:val="text"/>
    <w:basedOn w:val="WW-DefaultParagraphFont"/>
    <w:qFormat/>
    <w:rPr/>
  </w:style>
  <w:style w:type="character" w:styleId="HeaderChar">
    <w:name w:val="Header Char"/>
    <w:qFormat/>
    <w:rPr>
      <w:sz w:val="24"/>
      <w:szCs w:val="24"/>
    </w:rPr>
  </w:style>
  <w:style w:type="character" w:styleId="WW-Caratterinotaapidipagina">
    <w:name w:val="WW-Caratteri nota a piè di pagina"/>
    <w:qFormat/>
    <w:rPr/>
  </w:style>
  <w:style w:type="character" w:styleId="FootnoteReference">
    <w:name w:val="Footnote Reference"/>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2026-08-30T08:48:00Z</dcterms:modified>
  <cp:revision>2</cp:revision>
  <dc:subject/>
  <dc:title>Sabato</dc:title>
</cp:coreProperties>
</file>