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inVerseTestata"/>
        <w:pBdr>
          <w:bottom w:val="single" w:sz="6" w:space="1" w:color="000000"/>
        </w:pBdr>
        <w:tabs>
          <w:tab w:val="clear" w:pos="708"/>
          <w:tab w:val="left" w:pos="3047" w:leader="none"/>
        </w:tabs>
        <w:rPr/>
      </w:pPr>
      <w:r>
        <mc:AlternateContent>
          <mc:Choice Requires="wps">
            <w:drawing>
              <wp:anchor behindDoc="1" distT="0" distB="0" distL="114935" distR="114935" simplePos="0" locked="0" layoutInCell="1" allowOverlap="1" relativeHeight="2">
                <wp:simplePos x="0" y="0"/>
                <wp:positionH relativeFrom="column">
                  <wp:posOffset>-796290</wp:posOffset>
                </wp:positionH>
                <wp:positionV relativeFrom="paragraph">
                  <wp:posOffset>-226695</wp:posOffset>
                </wp:positionV>
                <wp:extent cx="914400" cy="914400"/>
                <wp:effectExtent l="635" t="0" r="635" b="23495"/>
                <wp:wrapNone/>
                <wp:docPr id="1" name="Ovale 3"/>
                <a:graphic xmlns:a="http://schemas.openxmlformats.org/drawingml/2006/main">
                  <a:graphicData uri="http://schemas.microsoft.com/office/word/2010/wordprocessingShape">
                    <wps:wsp>
                      <wps:cNvSpPr/>
                      <wps:spPr>
                        <a:xfrm>
                          <a:off x="0" y="0"/>
                          <a:ext cx="914400" cy="914400"/>
                        </a:xfrm>
                        <a:prstGeom prst="ellipse">
                          <a:avLst/>
                        </a:prstGeom>
                        <a:blipFill rotWithShape="0">
                          <a:blip r:embed="rId2"/>
                          <a:stretch>
                            <a:fillRect/>
                          </a:stretch>
                        </a:blipFill>
                        <a:ln w="0">
                          <a:noFill/>
                        </a:ln>
                        <a:effectLst>
                          <a:outerShdw dist="23040" dir="5400000" blurRad="0" rotWithShape="0">
                            <a:srgbClr val="808080">
                              <a:alpha val="35000"/>
                            </a:srgbClr>
                          </a:outerShdw>
                        </a:effectLst>
                      </wps:spPr>
                      <wps:style>
                        <a:lnRef idx="0"/>
                        <a:fillRef idx="0"/>
                        <a:effectRef idx="0"/>
                        <a:fontRef idx="minor"/>
                      </wps:style>
                      <wps:bodyPr/>
                    </wps:wsp>
                  </a:graphicData>
                </a:graphic>
              </wp:anchor>
            </w:drawing>
          </mc:Choice>
          <mc:Fallback>
            <w:pict>
              <v:oval id="shape_0" ID="Ovale 3" stroked="f" o:allowincell="f" style="position:absolute;margin-left:-62.7pt;margin-top:-17.85pt;width:71.95pt;height:71.95pt;mso-wrap-style:none;v-text-anchor:middle">
                <v:fill r:id="rId3" o:detectmouseclick="t" type="frame" color2="black"/>
                <v:stroke color="#3465a4" joinstyle="round" endcap="flat"/>
                <v:shadow on="t" obscured="f" color="gray"/>
                <w10:wrap type="none"/>
              </v:oval>
            </w:pict>
          </mc:Fallback>
        </mc:AlternateContent>
      </w:r>
      <w:r>
        <w:rPr/>
        <w:t>inVerse:</w:t>
      </w:r>
    </w:p>
    <w:p>
      <w:pPr>
        <w:pStyle w:val="inVerseTestata"/>
        <w:pBdr>
          <w:bottom w:val="single" w:sz="6" w:space="1" w:color="000000"/>
        </w:pBdr>
        <w:tabs>
          <w:tab w:val="clear" w:pos="708"/>
          <w:tab w:val="left" w:pos="3047" w:leader="none"/>
        </w:tabs>
        <w:rPr/>
      </w:pPr>
      <w:r>
        <w:rPr/>
      </w:r>
      <w:r>
        <w:rPr/>
        <w:t>Scuola del Sabato per giovani adulti</w:t>
      </w:r>
    </w:p>
    <w:p>
      <w:pPr>
        <w:pStyle w:val="inVerseTestata"/>
        <w:pBdr>
          <w:bottom w:val="single" w:sz="6" w:space="1" w:color="000000"/>
        </w:pBdr>
        <w:tabs>
          <w:tab w:val="clear" w:pos="708"/>
          <w:tab w:val="left" w:pos="3047" w:leader="none"/>
        </w:tabs>
        <w:rPr/>
      </w:pPr>
      <w:r>
        <w:rPr/>
      </w:r>
    </w:p>
    <w:p>
      <w:pPr>
        <w:pStyle w:val="inVerseTestata"/>
        <w:pBdr>
          <w:bottom w:val="single" w:sz="6" w:space="1" w:color="000000"/>
        </w:pBdr>
        <w:tabs>
          <w:tab w:val="clear" w:pos="708"/>
          <w:tab w:val="left" w:pos="3047" w:leader="none"/>
        </w:tabs>
        <w:rPr/>
      </w:pPr>
      <w:r>
        <w:rPr/>
      </w:r>
    </w:p>
    <w:p>
      <w:pPr>
        <w:pStyle w:val="inVerseRifLezione"/>
        <w:pBdr>
          <w:bottom w:val="single" w:sz="6" w:space="1" w:color="000000"/>
        </w:pBdr>
        <w:tabs>
          <w:tab w:val="clear" w:pos="708"/>
          <w:tab w:val="left" w:pos="3047" w:leader="none"/>
          <w:tab w:val="left" w:pos="5495" w:leader="none"/>
          <w:tab w:val="right" w:pos="8504" w:leader="none"/>
        </w:tabs>
        <w:jc w:val="end"/>
        <w:rPr/>
      </w:pPr>
      <w:r>
        <w:rPr/>
        <w:t>Il dono della profezia</w:t>
      </w:r>
    </w:p>
    <w:p>
      <w:pPr>
        <w:pStyle w:val="inVerseRifLezione"/>
        <w:pBdr>
          <w:bottom w:val="single" w:sz="6" w:space="1" w:color="000000"/>
        </w:pBdr>
        <w:tabs>
          <w:tab w:val="clear" w:pos="708"/>
          <w:tab w:val="left" w:pos="3047" w:leader="none"/>
        </w:tabs>
        <w:jc w:val="end"/>
        <w:rPr/>
      </w:pPr>
      <w:r>
        <w:rPr/>
        <w:t>Lezione 5</w:t>
      </w:r>
    </w:p>
    <w:p>
      <w:pPr>
        <w:pStyle w:val="inVerseRifLezione"/>
        <w:pBdr>
          <w:bottom w:val="single" w:sz="6" w:space="1" w:color="000000"/>
        </w:pBdr>
        <w:tabs>
          <w:tab w:val="clear" w:pos="708"/>
          <w:tab w:val="left" w:pos="3047" w:leader="none"/>
        </w:tabs>
        <w:jc w:val="end"/>
        <w:rPr/>
      </w:pPr>
      <w:r>
        <w:rPr/>
        <w:t>25 – 31 ottobre</w:t>
      </w:r>
    </w:p>
    <w:p>
      <w:pPr>
        <w:pStyle w:val="inVerseRifLezione"/>
        <w:tabs>
          <w:tab w:val="clear" w:pos="708"/>
          <w:tab w:val="left" w:pos="3047" w:leader="none"/>
        </w:tabs>
        <w:jc w:val="end"/>
        <w:rPr/>
      </w:pPr>
      <w:r>
        <w:rPr/>
      </w:r>
    </w:p>
    <w:p>
      <w:pPr>
        <w:pStyle w:val="Heading1"/>
        <w:rPr/>
      </w:pPr>
      <w:bookmarkStart w:id="0" w:name="_Hlk175839520"/>
      <w:bookmarkStart w:id="1" w:name="_Hlk175843035"/>
      <w:bookmarkStart w:id="2" w:name="_Hlk176252734"/>
      <w:bookmarkEnd w:id="0"/>
      <w:bookmarkEnd w:id="1"/>
      <w:bookmarkEnd w:id="2"/>
      <w:r>
        <w:rPr/>
        <w:t>Rivelazione e ispirazione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3">
                <wp:simplePos x="0" y="0"/>
                <wp:positionH relativeFrom="column">
                  <wp:posOffset>0</wp:posOffset>
                </wp:positionH>
                <wp:positionV relativeFrom="paragraph">
                  <wp:posOffset>128270</wp:posOffset>
                </wp:positionV>
                <wp:extent cx="3086100" cy="0"/>
                <wp:effectExtent l="0" t="12700" r="0" b="32385"/>
                <wp:wrapNone/>
                <wp:docPr id="2"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inTro</w:t>
      </w:r>
    </w:p>
    <w:p>
      <w:pPr>
        <w:pStyle w:val="Heading3"/>
        <w:rPr/>
      </w:pPr>
      <w:r>
        <w:rPr/>
        <w:t>Rivelazione generale e speciale</w:t>
      </w:r>
    </w:p>
    <w:p>
      <w:pPr>
        <w:pStyle w:val="inVerseBrano"/>
        <w:rPr/>
      </w:pPr>
      <w:r>
        <w:rPr/>
        <w:t>Leggi il brano di questa settimana:</w:t>
      </w:r>
      <w:r>
        <w:rPr>
          <w:b/>
        </w:rPr>
        <w:t xml:space="preserve"> </w:t>
      </w:r>
      <w:bookmarkStart w:id="3" w:name="_Hlk38393045"/>
      <w:bookmarkStart w:id="4" w:name="_Hlk38393596"/>
      <w:bookmarkStart w:id="5" w:name="_Hlk38394609"/>
      <w:bookmarkStart w:id="6" w:name="_Hlk75373792"/>
      <w:bookmarkStart w:id="7" w:name="_Hlk79496206"/>
      <w:bookmarkStart w:id="8" w:name="_Hlk79663463"/>
      <w:bookmarkStart w:id="9" w:name="_Hlk94013403"/>
      <w:bookmarkStart w:id="10" w:name="_Hlk175839611"/>
      <w:bookmarkStart w:id="11" w:name="_Hlk175840132"/>
      <w:bookmarkStart w:id="12" w:name="_Hlk175840851"/>
      <w:bookmarkStart w:id="13" w:name="_Hlk175843046"/>
      <w:bookmarkStart w:id="14" w:name="_Hlk176252197"/>
      <w:r>
        <w:rPr>
          <w:b/>
        </w:rPr>
        <w:t>Apocalisse 1</w:t>
      </w:r>
    </w:p>
    <w:p>
      <w:pPr>
        <w:pStyle w:val="inVerseCorpo"/>
        <w:rPr/>
      </w:pPr>
      <w:r>
        <w:rPr/>
        <w:t>Cosa avrebbe da dirci il Creatore del cosmo? Perché comunica con noi? Siamo esseri umani caduti in un mondo peccaminoso e affrontiamo morte, sofferenza e difficoltà. Dio ci parla perché vuole che sappiamo perché siamo qui, perché le cose si sono messe così male e perché, nonostante il male che ci circonda, possiamo sperare nel suo amore per noi.</w:t>
      </w:r>
    </w:p>
    <w:p>
      <w:pPr>
        <w:pStyle w:val="inVerseCorpo"/>
        <w:rPr/>
      </w:pPr>
      <w:r>
        <w:rPr/>
        <w:t>Dio spesso ci parla in modo non verbale. La sua rivelazione generale, come vista nel mondo naturale, parla eloquentemente della sua potenza infinita e del suo amore affettuoso. Re Davide esclamò: «I cieli raccontano la gloria di Dio e il firmamento annuncia l’opera delle sue mani» (Salmi 19:1). L’apostolo Paolo aggiunse: «infatti le sue qualità invisibili, la sua eterna potenza e divinità, si vedono chiaramente fin dalla creazione del mondo, essendo percepite per mezzo delle opere sue; perciò essi sono inescusabili» (Romani 1:20). La potenza restauratrice di Dio in particolare si manifesta piuttosto chiaramente nei misteriosi processi di guarigione nel nostro mondo. Infatti: «In tutta la natura si manifesta la potenza risanatrice di Dio. Se un albero è reciso, se un essere umano è ferito o si frattura un osso, la natura immediatamente inizia la sua opera di riparazione. Gli agenti curativi sono pronti prima ancora che sorga la necessità, e non appena una parte è ferita, ogni energia si concentra sull’azione di guarigione».</w:t>
      </w:r>
      <w:r>
        <w:rPr>
          <w:rStyle w:val="FootnoteReference2"/>
          <w:rStyle w:val="FootnoteReference"/>
          <w:rFonts w:eastAsia="Calibri"/>
          <w:bCs/>
          <w:iCs/>
        </w:rPr>
        <w:footnoteReference w:id="2"/>
      </w:r>
    </w:p>
    <w:p>
      <w:pPr>
        <w:pStyle w:val="inVerseCorpo"/>
        <w:rPr/>
      </w:pPr>
      <w:r>
        <w:rPr/>
        <w:t>Per quanto possa essere bello e istruttivo il mondo naturale, rivela non solo la potenza e l’amore di Dio ma anche la presenza del male (cfr. Genesi 3:14–19; Matteo 13:24–30). Questo messaggio ambiguo può essere compreso adeguatamente solo alla luce della rivelazione speciale di Dio: sia in Gesù Cristo, la Parola di Dio incarnata, che nella Bibbia, la Parola di Dio scritta che testimonia di lui (Giovanni 5:39). Le Scritture sono la documentazione ispirata dei messaggi di Dio a tutti gli esseri umani nel corso dei secoli. Ci parlano della creazione del mondo e della sua tragica caduta, dello straordinario piano di Dio della redenzione e della restaurazione finale del pianeta terra. Per quanto brevi e selettive possano essere alcune narrazioni bibliche, sono sempre affidabili, perché è Dio che ci sta parlando.</w:t>
      </w:r>
    </w:p>
    <w:p>
      <w:pPr>
        <w:pStyle w:val="inVerseCorpo"/>
        <w:rPr/>
      </w:pPr>
      <w:r>
        <w:rPr/>
        <w:t>Molti libri e scritti, non solo nella Bibbia, ci sono stati trasmessi nei secoli, eppure riteniamo la Bibbia la Parola di Dio. Cosa la separa dagli altri scritti? Paolo scrisse: «Ogni Scrittura è ispirata da Dio e utile a insegnare, a riprendere, a correggere, a educare alla giustizia» (2 Timoteo 3:16). C’è un po’ di dibattito su quale sia la traduzione migliore di questo versetto, ma la maggior parte delle versioni lo rendono in modo simile, evidenziando che l’intera Bibbia è di origine divina (2 Pietro 1:20, 21).</w:t>
      </w:r>
    </w:p>
    <w:p>
      <w:pPr>
        <w:pStyle w:val="inVerseCorpo"/>
        <w:rPr/>
      </w:pPr>
      <w:r>
        <w:rPr/>
        <w:t>Molte persone si meravigliano del processo di ispirazione che portò alla Bibbia. È importante riconoscere che l’ispirazione profetica è l’opera dello Spirito Santo, che ha assistito i profeti nell’intero processo di comunicazione dei suoi messaggi divini. Ha aiutato i profeti non solo a ricevere i messaggi, ma anche a comunicarli chiaramente ai loro destinatari.</w:t>
      </w:r>
    </w:p>
    <w:p>
      <w:pPr>
        <w:pStyle w:val="inVerseCorpo"/>
        <w:rPr/>
      </w:pPr>
      <w:r>
        <w:rPr/>
        <w:t>I messaggi di Dio sono giunti ai profeti attraverso svariati metodi: visioni e sogni (Numeri 12:6; Isaia 6:1, 18), testimoni oculari (1 Giovanni 1:1-3), ricerche storiche ispirate dallo Spirito (Luca 1:1–3) e impressioni divine sulla mente (2 Pietro 1:21) sono solo alcuni metodi. Una volta ricevuti, questi messaggi potevano essere comunicati al loro pubblico originario oralmente (2 Pietro 1:19-21), in forma scritta (Giovanni 20:30, 31) o anche in forma drammatizzata (Ezechiele 4:1-8). A prescindere dai mezzi di cui si serviva lo Spirito Santo, ai profeti e agli autori biblici venivano affidati messaggi di verità oggettivi, non soggettivi. Questo è un punto importantissimo: i messaggi di Dio non dovevano essere manomessi o distorti in alcun modo dai suoi messaggeri, anche se usavano le loro parole per esprimere quei messaggi. Dio proteggeva attentamente i messaggi che dava attraverso i profeti in modo che noi potessimo ascoltare e arrivare a conoscerlo.</w:t>
      </w:r>
    </w:p>
    <w:p>
      <w:pPr>
        <w:pStyle w:val="inVerseSpazio"/>
      </w:pPr>
    </w:p>
    <w:p>
      <w:pPr>
        <w:pStyle w:val="Heading2"/>
        <w:rPr/>
      </w:pPr>
      <w:bookmarkEnd w:id="3"/>
      <w:bookmarkEnd w:id="4"/>
      <w:bookmarkEnd w:id="5"/>
      <w:bookmarkEnd w:id="6"/>
      <w:bookmarkEnd w:id="7"/>
      <w:bookmarkEnd w:id="8"/>
      <w:bookmarkEnd w:id="9"/>
      <w:r>
        <w:rPr/>
        <w:t>inScribe</w:t>
      </w:r>
    </w:p>
    <w:p>
      <w:pPr>
        <w:pStyle w:val="Heading4"/>
        <w:rPr/>
      </w:pPr>
      <w:r>
        <w:rPr/>
        <w:t>Sul quaderno</w:t>
      </w:r>
    </w:p>
    <w:p>
      <w:pPr>
        <w:pStyle w:val="inVerseTesto"/>
        <w:rPr/>
      </w:pPr>
      <w:bookmarkStart w:id="15" w:name="_Hlk176252249"/>
      <w:bookmarkEnd w:id="15"/>
      <w:r>
        <w:rPr/>
        <w:t>Fai uno schema o una mappa mentale di Apocalisse 1. Concentrati soprattutto sui versetti 1-3, scrivendoli con la traduzione di tua scelta o riscrivendoli a parole tue. Questo brano cosa rivela su come i profeti ricevevano i messaggi di Dio?</w:t>
      </w:r>
    </w:p>
    <w:p>
      <w:pPr>
        <w:pStyle w:val="inVerseElenco"/>
        <w:rPr/>
      </w:pPr>
      <w:r>
        <w:rPr/>
        <w:t>- [Cerchia] le parole/frasi/idee ripetute.</w:t>
      </w:r>
    </w:p>
    <w:p>
      <w:pPr>
        <w:pStyle w:val="inVerseElenco"/>
        <w:rPr/>
      </w:pPr>
      <w:r>
        <w:rPr/>
        <w:t>- [Sottolinea] le parole/frasi che sono importanti e hanno significato per te.</w:t>
      </w:r>
    </w:p>
    <w:p>
      <w:pPr>
        <w:pStyle w:val="inVerseTesto"/>
        <w:rPr/>
      </w:pPr>
      <w:r>
        <w:rPr/>
        <w:t>- Disegna [Frecce] per collegare parole/frasi ad altre parole/frasi associate o collegate.</w:t>
      </w:r>
    </w:p>
    <w:p>
      <w:pPr>
        <w:pStyle w:val="inVerseTesto"/>
        <w:rPr/>
      </w:pPr>
      <w:r>
        <w:rPr/>
        <w:t>I tuoi segni verso quali idee sembrano puntare?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4">
                <wp:simplePos x="0" y="0"/>
                <wp:positionH relativeFrom="column">
                  <wp:posOffset>0</wp:posOffset>
                </wp:positionH>
                <wp:positionV relativeFrom="paragraph">
                  <wp:posOffset>128270</wp:posOffset>
                </wp:positionV>
                <wp:extent cx="3086100" cy="0"/>
                <wp:effectExtent l="0" t="12700" r="0" b="32385"/>
                <wp:wrapNone/>
                <wp:docPr id="3"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inGest</w:t>
      </w:r>
    </w:p>
    <w:p>
      <w:pPr>
        <w:pStyle w:val="Heading3"/>
        <w:rPr/>
      </w:pPr>
      <w:r>
        <w:rPr/>
        <w:t>Ricevere e scrivere i messaggi</w:t>
      </w:r>
    </w:p>
    <w:p>
      <w:pPr>
        <w:pStyle w:val="inVerseCorpo"/>
        <w:rPr/>
      </w:pPr>
      <w:bookmarkStart w:id="16" w:name="_Hlk79509997"/>
      <w:bookmarkStart w:id="17" w:name="_Hlk79663522"/>
      <w:bookmarkStart w:id="18" w:name="OLE_LINK1"/>
      <w:bookmarkEnd w:id="16"/>
      <w:bookmarkEnd w:id="17"/>
      <w:bookmarkEnd w:id="18"/>
      <w:r>
        <w:rPr/>
        <w:t>L’apostolo Giovanni faceva parte della cerchia intima dei dodici apostoli (Luca 8:51; Matteo 17:1; Matteo 26:36, 37). Dopo l’ascensione di Cristo, Giovanni continuò il suo ministero a Gerusalemme. Prima che la città cadesse nel 70 d.C., Giovanni andò a Efeso per supervisionare le chiese nella provincia romana dell’Asia minore. Durante la persecuzione cristiana sotto l’imperatore romano Domiziano, fu esiliato a Patmos, un’isola nel mar Egeo.</w:t>
      </w:r>
    </w:p>
    <w:p>
      <w:pPr>
        <w:pStyle w:val="inVerseCorpo"/>
        <w:rPr/>
      </w:pPr>
      <w:r>
        <w:rPr/>
        <w:t>Mentre si trovava lì, Giovanni ricevette dei messaggi profetici speciali rivolti non solo alle sette chiese dell’Asia minore, ma ai cristiani nel corso dei secoli (Apocalisse 1:1-3, 9-11). La catena di distribuzione del messaggio profetico, di cui Giovanni faceva parte, era una cosa del genere: Dio il Padre, a Gesù Cristo, all’angelo, all’apostolo Giovanni e ai lettori e gli ascoltatori. Questo è un classico esempio del processo di rivelazione-ispirazione in cui Dio si serve dei profeti per comunicare i suoi messaggi all’umanità.</w:t>
      </w:r>
    </w:p>
    <w:p>
      <w:pPr>
        <w:pStyle w:val="inVerseCorpo"/>
        <w:rPr/>
      </w:pPr>
      <w:r>
        <w:rPr/>
        <w:t>Se Giovanni non avesse scritto quello che gli era stato rivelato, il messaggio sarebbe svanito o sarebbe stato distorto con il passare del tempo. Gesù quindi gli disse: «Scrivi dunque le cose che hai viste, quelle che sono e quelle che devono avvenire in seguito» (Apocalisse 1:19). La scrittura dà permanenza alla parola detta e quella permanenza permette che il messaggio sia conservato e trasmesso nel tempo.</w:t>
      </w:r>
    </w:p>
    <w:p>
      <w:pPr>
        <w:pStyle w:val="inVerseCorpo"/>
        <w:rPr/>
      </w:pPr>
      <w:r>
        <w:rPr/>
        <w:t>Iniziando con Mosè, che scrisse i primi cinque libri della Bibbia, lo Spirito Santo guidò i profeti canonici a produrre gli scritti che ora compongono i sessantasei libri della Bibbia. Poco dopo che gli israeliti lasciarono l’Egitto, quando sconfissero gli amalechiti, Dio disse a Mosè: «Scrivi questo fatto in un libro, perché se ne conservi il ricordo» (Esodo 17:14), che fornisce una piccola dimostrazione di quanto intimamente coinvolto fosse Dio nella scrittura delle sue Scritture.</w:t>
      </w:r>
    </w:p>
    <w:p>
      <w:pPr>
        <w:pStyle w:val="inVerseCorpo"/>
        <w:rPr/>
      </w:pPr>
      <w:r>
        <w:rPr/>
        <w:t>I diversi libri della Bibbia riflettono gli stili letterari e le capacità dei loro rispettivi scrittori. Le sfumature personali e i diversi stili di ogni autore non sminuiscono i loro messaggi, perché non ci sono «gradi» di ispirazione. Alcune parti della Bibbia sono più ovviamente rilevanti e applicabili alla nostra vita e alla nostra fede oggi di altri, ma questo non rende una parte della Bibbia più ispirata dell’altra.</w:t>
      </w:r>
    </w:p>
    <w:p>
      <w:pPr>
        <w:pStyle w:val="inVerseCorpo"/>
        <w:rPr/>
      </w:pPr>
      <w:r>
        <w:rPr/>
        <w:t>A volte gli autori biblici riportavano messaggi ispirati che erano stati prima trasmessi oralmente, o da loro stessi o da un compagno fidato. In alcuni casi, i profeti citavano fonti non ispirate (Atti 17:28; 1 Corinzi 15:33; Tito 1:12) e persino le parole di Satana (Genesi 3:1–5; Matteo 4:1–11). Inoltre, la Bibbia descrive molti buoni esempi da imitare, ma anche molti brutti esempi da evitare (1 Corinzi 10:1-11).</w:t>
      </w:r>
    </w:p>
    <w:p>
      <w:pPr>
        <w:pStyle w:val="inVerseCorpo"/>
        <w:rPr/>
      </w:pPr>
      <w:r>
        <w:rPr/>
        <w:t>Mentre leggiamo la Bibbia, dovremmo tenere in mente che anche se non è scritta in un linguaggio perfetto, trasmette un messaggio infallibile che resisterà alla prova del tempo.</w:t>
      </w:r>
    </w:p>
    <w:p>
      <w:pPr>
        <w:pStyle w:val="Heading4"/>
        <w:rPr/>
      </w:pPr>
      <w:r>
        <w:rPr/>
        <w:t>Domande da esplorare:</w:t>
      </w:r>
    </w:p>
    <w:p>
      <w:pPr>
        <w:pStyle w:val="inVerseTesto"/>
        <w:rPr/>
      </w:pPr>
      <w:r>
        <w:rPr/>
        <w:t>Perché Dio è così interessato a parlarci?</w:t>
      </w:r>
    </w:p>
    <w:p>
      <w:pPr>
        <w:pStyle w:val="inVerseTesto"/>
        <w:rPr/>
      </w:pPr>
      <w:r>
        <w:rPr/>
        <w:t>Anche se la natura indica chiaramente la realtà della potenza e dell’amore del Creatore, perché abbiamo così disperatamente bisogno della Parola scritta? Cosa ci dice la Parola che la natura da sola non ci dice?</w:t>
      </w:r>
    </w:p>
    <w:p>
      <w:pPr>
        <w:pStyle w:val="inVerseTesto"/>
        <w:rPr/>
      </w:pPr>
      <w:r>
        <w:rPr/>
        <w:t>Scrivi le tue risposte.</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5">
                <wp:simplePos x="0" y="0"/>
                <wp:positionH relativeFrom="column">
                  <wp:posOffset>0</wp:posOffset>
                </wp:positionH>
                <wp:positionV relativeFrom="paragraph">
                  <wp:posOffset>128270</wp:posOffset>
                </wp:positionV>
                <wp:extent cx="3086100" cy="0"/>
                <wp:effectExtent l="0" t="12700" r="0" b="32385"/>
                <wp:wrapNone/>
                <wp:docPr id="4"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inTerpret</w:t>
      </w:r>
    </w:p>
    <w:p>
      <w:pPr>
        <w:pStyle w:val="Heading3"/>
        <w:rPr/>
      </w:pPr>
      <w:r>
        <w:rPr/>
        <w:t>Simboli, parabole e drammi</w:t>
      </w:r>
    </w:p>
    <w:p>
      <w:pPr>
        <w:pStyle w:val="inVerseCorpo"/>
        <w:rPr/>
      </w:pPr>
      <w:r>
        <w:rPr/>
        <w:t>Il libro dell’Apocalisse è pieno di simbolismi misteriosi con varie bestie e corna (Apocalisse 13), stelle e candelabri (Apocalisse 1) e donne simboliche (Apocalisse 12 e 17), tra altre figure. L’Apocalisse segue uno stile simile a quello del libro di Daniele, nell’Antico Testamento, in cui i regni e le potenze del mondo erano rappresentate dalle diverse parti di una grande statua (Daniele 2:31–45), diversi animali e corna (Daniele 7 e 8) e due re (Daniele 11). Simboli profetici come questi possono creare nei lettori un senso di oppressione e timore. I messaggi simbolici non sono compresi facilmente dal lettore superficiale, ma gli studenti diligenti scoprono lentamente che la Bibbia fornisce la sua interpretazione.</w:t>
      </w:r>
    </w:p>
    <w:p>
      <w:pPr>
        <w:pStyle w:val="inVerseCorpo"/>
        <w:rPr/>
      </w:pPr>
      <w:r>
        <w:rPr/>
        <w:t>Daniele e Apocalisse non sono gli unici libri della Bibbia che parlano simbolicamente e drammaticamente; la Bibbia contiene una ricca varietà di immagini e metafore. Per esempio, il sistema dei sacrifici dell’Antico Testamento, il tabernacolo mosaico e il tempio di Gerusalemme erano una rappresentazione diretta del sacrificio espiatorio di Cristo sulla croce e del suo sacerdozio celeste (Ebrei 8:1-6).</w:t>
      </w:r>
    </w:p>
    <w:p>
      <w:pPr>
        <w:pStyle w:val="inVerseCorpo"/>
        <w:rPr/>
      </w:pPr>
      <w:r>
        <w:rPr/>
        <w:t>Gli insegnamenti di Gesù erano pieni di metafore. Egli parlava di se stesso come il pane della vita (Giovanni 6:35, 41-58), la luce del mondo (Giovanni 8:12; 9:5) e la vera vite (Giovanni 15:1-8). Attraverso la parabola del seminatore (Matteo 13:1-9, 18-23) e diverse altre (Matteo 13:24-52), Gesù illustrava la natura e la crescita del suo regno.</w:t>
      </w:r>
    </w:p>
    <w:p>
      <w:pPr>
        <w:pStyle w:val="inVerseCorpo"/>
        <w:rPr/>
      </w:pPr>
      <w:r>
        <w:rPr/>
        <w:t>Un altro esempio si trova nella vivida drammatizzazione di Ezechiele 4:1-8, dove Dio chiede al profeta di creare un modello in miniatura di Gerusalemme e di sdraiarsi, prima sul lato sinistro per 390 giorni, rappresentando la casa d’Israele, e poi sul lato destro per 40 giorni, rappresentando la casa di Giuda. Un’altra esperienza visiva fu il matrimonio ordinato da Dio di Osea e Gomer, una prostituta, per rappresentare l’infedeltà spirituale di Israele nei confronti di Dio (Osea 1:2–9).</w:t>
      </w:r>
    </w:p>
    <w:p>
      <w:pPr>
        <w:pStyle w:val="inVerseCorpo"/>
        <w:rPr/>
      </w:pPr>
      <w:r>
        <w:rPr/>
        <w:t>Le esperienze drammatiche di Ezechiele e di Osea sembrano piuttosto scioccanti oggi, ma era quello lo scopo; l’intenzione era che fossero scioccanti non solo per noi ma anche per la gente dell’epoca. In un’epoca in cui gli avvertimenti dei profeti venivano respinti apertamente (cfr. 2 Cronache 36:15–21), l’ultimo atto di misericordia divina era avvisare drammaticamente le persone della loro vera condizione per portarle a un ravvedimento sincero. Una tale presentazione drammatica certamente avrebbe dovuto mostrare loro quanto sul serio avrebbero dovuto prendere gli avvertimenti e le suppliche di Dio.</w:t>
      </w:r>
    </w:p>
    <w:p>
      <w:pPr>
        <w:pStyle w:val="Heading4"/>
        <w:rPr/>
      </w:pPr>
      <w:r>
        <w:rPr/>
        <w:t>Sul quaderno:</w:t>
      </w:r>
    </w:p>
    <w:p>
      <w:pPr>
        <w:pStyle w:val="inVerseTesto"/>
        <w:rPr/>
      </w:pPr>
      <w:r>
        <w:rPr/>
        <w:t>Perché pensi che Dio a volte parli in simboli, parabole e drammatizzazioni? Perché non parlare sempre in modo diretto?</w:t>
      </w:r>
    </w:p>
    <w:p>
      <w:pPr>
        <w:pStyle w:val="inVerseTesto"/>
        <w:rPr/>
      </w:pPr>
      <w:r>
        <w:rPr/>
        <w:t>Perché pensi che la Bibbia usi così tanti generi diversi (ad es., letteratura apocalittica, poesie, storia, legge, lettere) per presentare i suoi messaggi?</w:t>
      </w:r>
    </w:p>
    <w:p>
      <w:pPr>
        <w:pStyle w:val="inVerseTesto"/>
        <w:rPr/>
      </w:pPr>
      <w:r>
        <w:rPr/>
        <w:t>Memorizza il tuo brano preferito di Apocalisse 1. Scrivilo più volte per aiutare con la memorizzazione.</w:t>
      </w:r>
    </w:p>
    <w:p>
      <w:pPr>
        <w:pStyle w:val="inVerseFiletto"/>
        <w:tabs>
          <w:tab w:val="clear" w:pos="708"/>
          <w:tab w:val="left" w:pos="3047" w:leader="none"/>
        </w:tabs>
        <w:rPr/>
      </w:pPr>
      <w:r>
        <w:rPr>
          <w:rFonts w:eastAsia="Calibri" w:cs="Times New Roman" w:ascii="Times New Roman" w:hAnsi="Times New Roman"/>
          <w:b/>
          <w:bCs/>
          <w:iCs/>
          <w:color w:val="B6B7B8"/>
          <w:sz w:val="24"/>
          <w:szCs w:val="32"/>
        </w:rPr>
        <mc:AlternateContent>
          <mc:Choice Requires="wps">
            <w:drawing>
              <wp:anchor behindDoc="0" distT="0" distB="0" distL="114935" distR="114935" simplePos="0" locked="0" layoutInCell="1" allowOverlap="1" relativeHeight="6">
                <wp:simplePos x="0" y="0"/>
                <wp:positionH relativeFrom="column">
                  <wp:posOffset>0</wp:posOffset>
                </wp:positionH>
                <wp:positionV relativeFrom="paragraph">
                  <wp:posOffset>128270</wp:posOffset>
                </wp:positionV>
                <wp:extent cx="3086100" cy="0"/>
                <wp:effectExtent l="0" t="12700" r="0" b="32385"/>
                <wp:wrapNone/>
                <wp:docPr id="5"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inSpect</w:t>
      </w:r>
    </w:p>
    <w:p>
      <w:pPr>
        <w:pStyle w:val="inVerseTesto"/>
        <w:rPr/>
      </w:pPr>
      <w:bookmarkStart w:id="23" w:name="_Hlk175829229"/>
      <w:bookmarkStart w:id="24" w:name="_Hlk175839798"/>
      <w:bookmarkStart w:id="25" w:name="_Hlk175840533"/>
      <w:bookmarkStart w:id="26" w:name="_Hlk175841071"/>
      <w:bookmarkStart w:id="27" w:name="_Hlk176249137"/>
      <w:bookmarkStart w:id="28" w:name="_Hlk176252326"/>
      <w:bookmarkEnd w:id="23"/>
      <w:bookmarkEnd w:id="24"/>
      <w:bookmarkEnd w:id="25"/>
      <w:bookmarkEnd w:id="26"/>
      <w:bookmarkEnd w:id="27"/>
      <w:bookmarkEnd w:id="28"/>
      <w:r>
        <w:rPr/>
        <w:t>In che modo i brani seguenti ci aiutano a comprendere meglio come e perché Dio comunica attraverso i suoi profeti?</w:t>
      </w:r>
    </w:p>
    <w:p>
      <w:pPr>
        <w:pStyle w:val="Heading4"/>
        <w:rPr/>
      </w:pPr>
      <w:r>
        <w:rPr>
          <w:b w:val="0"/>
        </w:rPr>
        <w:t>Dio parla:</w:t>
      </w:r>
    </w:p>
    <w:p>
      <w:pPr>
        <w:pStyle w:val="inVerseRiferimenti"/>
        <w:rPr/>
      </w:pPr>
      <w:r>
        <w:rPr/>
        <w:t>Geremia 1:9</w:t>
      </w:r>
    </w:p>
    <w:p>
      <w:pPr>
        <w:pStyle w:val="inVerseRiferimenti"/>
        <w:rPr/>
      </w:pPr>
      <w:r>
        <w:rPr/>
        <w:t>Amos 3:7</w:t>
      </w:r>
    </w:p>
    <w:p>
      <w:pPr>
        <w:pStyle w:val="inVerseRiferimenti"/>
        <w:rPr/>
      </w:pPr>
      <w:r>
        <w:rPr/>
        <w:t>Atti 3:21</w:t>
      </w:r>
    </w:p>
    <w:p>
      <w:pPr>
        <w:pStyle w:val="inVerseRiferimenti"/>
        <w:rPr/>
      </w:pPr>
      <w:r>
        <w:rPr/>
        <w:t>Ebrei 1:1, 2</w:t>
      </w:r>
    </w:p>
    <w:p>
      <w:pPr>
        <w:pStyle w:val="inVerseRiferimenti"/>
        <w:rPr/>
      </w:pPr>
      <w:r>
        <w:rPr/>
        <w:t>2 Pietro 1:19–21</w:t>
      </w:r>
    </w:p>
    <w:p>
      <w:pPr>
        <w:pStyle w:val="Heading4"/>
        <w:rPr/>
      </w:pPr>
      <w:r>
        <w:rPr>
          <w:b w:val="0"/>
        </w:rPr>
        <w:t>Messaggi persistenti:</w:t>
      </w:r>
    </w:p>
    <w:p>
      <w:pPr>
        <w:pStyle w:val="inVerseRiferimenti"/>
        <w:rPr/>
      </w:pPr>
      <w:r>
        <w:rPr/>
        <w:t>2 Cronache 36:15, 16</w:t>
      </w:r>
    </w:p>
    <w:p>
      <w:pPr>
        <w:pStyle w:val="inVerseRiferimenti"/>
        <w:rPr/>
      </w:pPr>
      <w:r>
        <w:rPr/>
        <w:t>Geremia 7:23–26</w:t>
      </w:r>
    </w:p>
    <w:p>
      <w:pPr>
        <w:pStyle w:val="inVerseTesto"/>
        <w:rPr/>
      </w:pPr>
      <w:r>
        <w:rPr/>
        <w:t>Quali altri versetti/promesse ti vengono in mente in relazione ad Apocalisse 1:1–3?</w:t>
      </w:r>
    </w:p>
    <w:p>
      <w:pPr>
        <w:pStyle w:val="Heading4"/>
        <w:rPr/>
      </w:pPr>
      <w:r>
        <w:rPr/>
        <w:t>Sul quaderno</w:t>
      </w:r>
    </w:p>
    <w:p>
      <w:pPr>
        <w:pStyle w:val="inVerseTesto"/>
        <w:rPr/>
      </w:pPr>
      <w:bookmarkStart w:id="29" w:name="_Hlk175750434"/>
      <w:bookmarkStart w:id="30" w:name="_Hlk175839827"/>
      <w:bookmarkStart w:id="31" w:name="_Hlk175840551"/>
      <w:bookmarkStart w:id="32" w:name="_Hlk175841094"/>
      <w:bookmarkStart w:id="33" w:name="_Hlk176252341"/>
      <w:bookmarkStart w:id="34" w:name="_Hlk176254359"/>
      <w:bookmarkEnd w:id="29"/>
      <w:bookmarkEnd w:id="30"/>
      <w:bookmarkEnd w:id="31"/>
      <w:bookmarkEnd w:id="32"/>
      <w:bookmarkEnd w:id="33"/>
      <w:bookmarkEnd w:id="34"/>
      <w:r>
        <w:rPr/>
        <w:t>Ripassa il brano di Apocalisse 1 che hai memorizzato.</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7">
                <wp:simplePos x="0" y="0"/>
                <wp:positionH relativeFrom="column">
                  <wp:posOffset>0</wp:posOffset>
                </wp:positionH>
                <wp:positionV relativeFrom="paragraph">
                  <wp:posOffset>128270</wp:posOffset>
                </wp:positionV>
                <wp:extent cx="3086100" cy="0"/>
                <wp:effectExtent l="0" t="12700" r="0" b="32385"/>
                <wp:wrapNone/>
                <wp:docPr id="6"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inVite</w:t>
      </w:r>
    </w:p>
    <w:p>
      <w:pPr>
        <w:pStyle w:val="Heading3"/>
        <w:rPr/>
      </w:pPr>
      <w:r>
        <w:rPr/>
        <w:t>Messaggi orali</w:t>
      </w:r>
    </w:p>
    <w:p>
      <w:pPr>
        <w:pStyle w:val="inVerseCorpo"/>
        <w:rPr/>
      </w:pPr>
      <w:bookmarkStart w:id="35" w:name="_Hlk170899034"/>
      <w:bookmarkEnd w:id="35"/>
      <w:r>
        <w:rPr/>
        <w:t>Prima che qualunque cose fosse documentata per iscritto, i messaggi di Dio arrivavano in modo udibile. Dio parlava ad Adamo ed Eva sia prima della caduta (Genesi 2:16, 17) sia dopo (Genesi 3:9-19). In entrambi i casi, loro comprendevano perfettamente le sue parole. La sua voce fu sentita chiaramente sul Sinai (Esodo 20:1-20), al battesimo di Gesù e alla sua trasfigurazione (Matteo 3:17; Matteo 17:5). Potremmo fraintendere quello che ci dicono le altre persone, ma puoi star certo che quando Dio parla a qualcuno, non ci sono malintesi.</w:t>
      </w:r>
    </w:p>
    <w:p>
      <w:pPr>
        <w:pStyle w:val="inVerseCorpo"/>
        <w:rPr/>
      </w:pPr>
      <w:r>
        <w:rPr/>
        <w:t>La Bibbia dice: «Dio parlò a Mosè e gli disse: “Io sono il Signore”» (Esodo 6:2). Molti scrittori biblici riconoscevano di aver sentito la voce di Dio mentre parlava loro. Questo è il caso, per esempio, di Isaia (Isaia 8:1, 11), Geremia (Geremia 1:4, 9, 11) ed Ezechiele (Ezechiele. 3:16; 6:1). Qualsiasi tentativo di negare queste e altre affermazioni simili alla fine mette in dubbio la sincerità dei profeti e l’affidabilità della Bibbia stessa.</w:t>
      </w:r>
    </w:p>
    <w:p>
      <w:pPr>
        <w:pStyle w:val="inVerseCorpo"/>
        <w:rPr/>
      </w:pPr>
      <w:r>
        <w:rPr/>
        <w:t>Come Dio parlava ai profeti in un linguaggio umano intelligibile, così parlavano i profeti ai loro rispettivi pubblici. Per esempio, Noè fu un vero profeta di Dio e un fedele «predicatore di giustizia» (2 Pietro 2:5). Non scrisse nessuna parte della Bibbia, ma trasmise il messaggio di Dio oralmente ai suoi contemporanei e il suo messaggio non era meno ispirato degli scritti dei profeti canonici. Diversi altri profeti, tra cui Natan, Elia, Eliseo e Giovanni il battista, allo stesso modo non scrissero nessuna parte della Bibbia, ma trasmisero i loro messaggi oralmente.</w:t>
      </w:r>
    </w:p>
    <w:p>
      <w:pPr>
        <w:pStyle w:val="inVerseCorpo"/>
        <w:rPr/>
      </w:pPr>
      <w:r>
        <w:rPr/>
        <w:t>E per quanto riguarda Gesù Cristo stesso? La testimonianza del vangelo menziona il fatto che durante il suo ministero sulla terra egli «si mise a scrivere con il dito in terra» (Giovanni 8:6)... ma questo è quanto. Non abbiamo indicazione che Gesù abbia scritto qualsiasi altra cosa. Ma insegnava e predicava oralmente «come uno che ha autorità» (Matteo 7:29). Alcuni dei suoi ascoltatori addirittura confessarono: «Mai un uomo ha parlato così!» (Giovanni 7:40, 46). Gesù era principalmente un comunicatore orale dei messaggi di Dio. I suoi messaggi non erano meno autorevoli o vincolanti semplicemente perché non scrisse nessun libro della Bibbia.</w:t>
      </w:r>
    </w:p>
    <w:p>
      <w:pPr>
        <w:pStyle w:val="inVerseCorpo"/>
        <w:rPr/>
      </w:pPr>
      <w:r>
        <w:rPr/>
        <w:t>Come abbiamo visto questa settimana, Dio manda i suoi messaggi in molte forme diverse. È importante ricordare che non scegliamo come Dio parla; Dio sceglie come parlare. Noi scegliamo se ascoltare. A volte, potremmo non voler leggere. Potremmo desiderare che Dio ci parli direttamente in modo udibile, ma dovremmo accettare con umiltà e gratitudine la comunicazione di Dio in qualunque forma ci arrivi.</w:t>
      </w:r>
    </w:p>
    <w:p>
      <w:pPr>
        <w:pStyle w:val="Heading4"/>
        <w:rPr/>
      </w:pPr>
      <w:bookmarkStart w:id="36" w:name="_Hlk175755156"/>
      <w:bookmarkStart w:id="37" w:name="_Hlk175840566"/>
      <w:bookmarkStart w:id="38" w:name="_Hlk175841235"/>
      <w:bookmarkStart w:id="39" w:name="_Hlk176249171"/>
      <w:bookmarkStart w:id="40" w:name="_Hlk176254398"/>
      <w:bookmarkEnd w:id="36"/>
      <w:bookmarkEnd w:id="37"/>
      <w:bookmarkEnd w:id="38"/>
      <w:bookmarkEnd w:id="39"/>
      <w:bookmarkEnd w:id="40"/>
      <w:r>
        <w:rPr/>
        <w:t>Domande da considerare:</w:t>
      </w:r>
    </w:p>
    <w:p>
      <w:pPr>
        <w:pStyle w:val="inVerseTesto"/>
        <w:rPr/>
      </w:pPr>
      <w:r>
        <w:rPr/>
        <w:t>In che modo Dio ti ha parlato? Come puoi ascoltare meglio?</w:t>
      </w:r>
    </w:p>
    <w:p>
      <w:pPr>
        <w:pStyle w:val="inVerseTesto"/>
        <w:rPr/>
      </w:pPr>
      <w:r>
        <w:rPr/>
        <w:t>Scrivi le tue risposte e una preghiera personale a Dio.</w:t>
      </w:r>
    </w:p>
    <w:p>
      <w:pPr>
        <w:pStyle w:val="inVerseFiletto"/>
        <w:widowControl w:val="false"/>
        <w:autoSpaceDE w:val="false"/>
        <w:rPr>
          <w:lang w:val="en-US" w:eastAsia="en-US"/>
        </w:rPr>
      </w:pPr>
      <w:r>
        <w:rPr>
          <w:rFonts w:cs="Montserrat-Bold;Cambria" w:ascii="Montserrat-Bold;Cambria" w:hAnsi="Montserrat-Bold;Cambria"/>
          <w:b/>
          <w:bCs/>
          <w:color w:val="B6B7B8"/>
          <w:sz w:val="32"/>
          <w:szCs w:val="32"/>
          <w:lang w:val="en-US" w:eastAsia="en-US"/>
        </w:rPr>
        <mc:AlternateContent>
          <mc:Choice Requires="wps">
            <w:drawing>
              <wp:anchor behindDoc="0" distT="0" distB="0" distL="114935" distR="114935" simplePos="0" locked="0" layoutInCell="1" allowOverlap="1" relativeHeight="8">
                <wp:simplePos x="0" y="0"/>
                <wp:positionH relativeFrom="column">
                  <wp:posOffset>0</wp:posOffset>
                </wp:positionH>
                <wp:positionV relativeFrom="paragraph">
                  <wp:posOffset>128270</wp:posOffset>
                </wp:positionV>
                <wp:extent cx="3086100" cy="0"/>
                <wp:effectExtent l="0" t="12700" r="0" b="32385"/>
                <wp:wrapNone/>
                <wp:docPr id="7"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inSight</w:t>
      </w:r>
    </w:p>
    <w:p>
      <w:pPr>
        <w:pStyle w:val="Heading3"/>
        <w:rPr/>
      </w:pPr>
      <w:r>
        <w:rPr/>
        <w:t>Ellen G. White su rivelazione e ispirazione</w:t>
      </w:r>
    </w:p>
    <w:p>
      <w:pPr>
        <w:pStyle w:val="inVerseCorpo"/>
        <w:rPr/>
      </w:pPr>
      <w:r>
        <w:rPr/>
        <w:t>Gli avventisti del settimo giorno credono che Ellen G. White fosse ispirata divinamente. I suoi scritti, la sua vita e il suo ministero soddisfano i criteri di un vero profeta. Ellen aveva la stessa qualità di ispirazione dei profeti biblici, anche se non considerò mai i suoi scritti alla pari della Scrittura; e non lo facciamo neanche noi. Al contrario, Ellen White elevava sempre la Bibbia. Ma lei stessa come considerava le rivelazioni profetiche che Dio le trasmetteva e il processo della sua ispirazione?</w:t>
      </w:r>
    </w:p>
    <w:p>
      <w:pPr>
        <w:pStyle w:val="inVerseCorpo"/>
        <w:rPr/>
      </w:pPr>
      <w:r>
        <w:rPr/>
        <w:t>Uno, Ellen White considerava sempre la Bibbia come la rivelazione di Dio autorevole e infallibile. La Bibbia rivela la verità di Dio e il suo piano della salvezza per la specie umana caduta. Parte di quel piano, come stiamo imparando, è servirsi dei profeti per comunicare i suoi messaggi.</w:t>
      </w:r>
    </w:p>
    <w:p>
      <w:pPr>
        <w:pStyle w:val="inVerseCorpo"/>
        <w:rPr/>
      </w:pPr>
      <w:r>
        <w:rPr/>
        <w:t>Due, Ellen riconosceva che il processo di ispirazione comportava l’interazione tra il divino e gli umani. Dio comunicava i suoi messaggi, ma poi il profeta trasmetteva le istruzioni divine usando le proprie parole. Come disse Ellen: «Non è il contenuto della Bibbia che è ispirato, ma lo furono gli uomini. L’ispirazione non agisce nelle parole dell’uomo o nelle sue espressioni, ma agisce nell’uomo stesso, poiché la loro mente e i loro pensieri furono sospinti dall’influsso dello Spirito Santo... La mente e la volontà divine si uniscono con quella umana e così le dichiarazioni dell’uomo diventano la Parola di Dio».</w:t>
      </w:r>
      <w:r>
        <w:rPr>
          <w:rStyle w:val="FootnoteReference2"/>
          <w:rStyle w:val="FootnoteReference"/>
        </w:rPr>
        <w:footnoteReference w:id="3"/>
      </w:r>
    </w:p>
    <w:p>
      <w:pPr>
        <w:pStyle w:val="inVerseCorpo"/>
        <w:rPr/>
      </w:pPr>
      <w:r>
        <w:rPr/>
        <w:t>Riguardo le visioni e i sogni profetici, Ellen considerava l’«ispirazione dei pensieri» come l’unione della rivelazione divina e dell’esperienza umana. Scrisse: « La Bibbia... con le sue verità divine espresse con un linguaggio umano, presenta l’unione del divino con l’umano».</w:t>
      </w:r>
      <w:r>
        <w:rPr>
          <w:rStyle w:val="FootnoteReference2"/>
          <w:rStyle w:val="FootnoteReference"/>
        </w:rPr>
        <w:footnoteReference w:id="4"/>
      </w:r>
      <w:r>
        <w:rPr/>
        <w:t xml:space="preserve"> Dio usa molti metodi per produrre la comprensione del suo messaggio nella mente del suo messaggero. Tra questi ci sono rappresentazioni figurate, parole e pensieri che coinvolgevano tutti i sensi del profeta. L’esperienza di Ellen White fu simile a quella degli autori della Bibbia.</w:t>
      </w:r>
    </w:p>
    <w:p>
      <w:pPr>
        <w:pStyle w:val="inVerseCorpo"/>
        <w:rPr/>
      </w:pPr>
      <w:r>
        <w:rPr/>
        <w:t>Tre, Ellen notò che non tutte le sue esperienze e comunicazioni umane erano ispirate. «Tuttavia ci sono opportunità quando si devono dichiarare cose comuni, i pensieri comuni devono occupare la mente, si devono scrivere lettere comuni e si deve dare informazione che è passata da un operaio all’altro. Tali parole, o informazioni non sono date sotto l’ispirazione speciale dello Spirito di Dio».</w:t>
      </w:r>
      <w:r>
        <w:rPr>
          <w:rStyle w:val="FootnoteReference2"/>
          <w:rStyle w:val="FootnoteReference"/>
        </w:rPr>
        <w:footnoteReference w:id="5"/>
      </w:r>
      <w:r>
        <w:rPr/>
        <w:t xml:space="preserve"> È di vitale importanza ricordare questa distinzione mentre leggiamo e ci relazioniamo con i suoi scritti e le sue esperienze, in particolare la sua corrispondenza e i suoi diari.</w:t>
      </w:r>
    </w:p>
    <w:p>
      <w:pPr>
        <w:pStyle w:val="inVerseCorpo"/>
        <w:rPr/>
      </w:pPr>
      <w:r>
        <w:rPr/>
        <w:t>Conoscere l’interpretazione di Ellen White della rivelazione e dell’ispirazione ci aiuta a evitare gli estremi e a leggere i suoi consigli con prudenza e comprensione.</w:t>
      </w:r>
    </w:p>
    <w:p>
      <w:pPr>
        <w:pStyle w:val="inVerseCorpo"/>
        <w:rPr/>
      </w:pPr>
      <w:r>
        <w:rPr/>
        <w:t>Per saperne di più, visita www.WhiteEstate.org/ABSG/5.</w:t>
      </w:r>
    </w:p>
    <w:p>
      <w:pPr>
        <w:pStyle w:val="inVerseFiletto"/>
        <w:widowControl w:val="false"/>
        <w:autoSpaceDE w:val="false"/>
        <w:rPr>
          <w:lang w:val="en-US" w:eastAsia="en-US"/>
        </w:rPr>
      </w:pPr>
      <w:r>
        <w:rPr>
          <w:rFonts w:eastAsia="Calibri" w:cs="Montserrat-Bold;Cambria" w:ascii="Montserrat-Bold;Cambria" w:hAnsi="Montserrat-Bold;Cambria"/>
          <w:b/>
          <w:bCs/>
          <w:iCs/>
          <w:color w:val="B6B7B8"/>
          <w:sz w:val="32"/>
          <w:szCs w:val="32"/>
          <w:lang w:val="en-US" w:eastAsia="en-US"/>
        </w:rPr>
        <mc:AlternateContent>
          <mc:Choice Requires="wps">
            <w:drawing>
              <wp:anchor behindDoc="0" distT="0" distB="0" distL="114935" distR="114935" simplePos="0" locked="0" layoutInCell="1" allowOverlap="1" relativeHeight="9">
                <wp:simplePos x="0" y="0"/>
                <wp:positionH relativeFrom="column">
                  <wp:posOffset>0</wp:posOffset>
                </wp:positionH>
                <wp:positionV relativeFrom="paragraph">
                  <wp:posOffset>128270</wp:posOffset>
                </wp:positionV>
                <wp:extent cx="3086100" cy="0"/>
                <wp:effectExtent l="0" t="12700" r="0" b="32385"/>
                <wp:wrapNone/>
                <wp:docPr id="8" name="Connettore 1 2"/>
                <a:graphic xmlns:a="http://schemas.openxmlformats.org/drawingml/2006/main">
                  <a:graphicData uri="http://schemas.microsoft.com/office/word/2010/wordprocessingShape">
                    <wps:wsp>
                      <wps:cNvSpPr/>
                      <wps:spPr>
                        <a:xfrm>
                          <a:off x="0" y="0"/>
                          <a:ext cx="3086280" cy="0"/>
                        </a:xfrm>
                        <a:prstGeom prst="line">
                          <a:avLst/>
                        </a:prstGeom>
                        <a:ln w="25560">
                          <a:solidFill>
                            <a:srgbClr val="205867"/>
                          </a:solidFill>
                          <a:miter/>
                        </a:ln>
                      </wps:spPr>
                      <wps:style>
                        <a:lnRef idx="0"/>
                        <a:fillRef idx="0"/>
                        <a:effectRef idx="0"/>
                        <a:fontRef idx="minor"/>
                      </wps:style>
                      <wps:bodyPr/>
                    </wps:wsp>
                  </a:graphicData>
                </a:graphic>
              </wp:anchor>
            </w:drawing>
          </mc:Choice>
          <mc:Fallback>
            <w:pict>
              <v:line id="shape_0" from="0pt,10.1pt" to="242.95pt,10.1pt" ID="Connettore 1 2" stroked="t" o:allowincell="f" style="position:absolute">
                <v:stroke color="#205867" weight="25560" joinstyle="miter" endcap="flat"/>
                <v:fill o:detectmouseclick="t" on="false"/>
                <v:shadow on="t" obscured="f" color="gray"/>
                <w10:wrap type="none"/>
              </v:line>
            </w:pict>
          </mc:Fallback>
        </mc:AlternateContent>
      </w:r>
    </w:p>
    <w:p>
      <w:pPr>
        <w:pStyle w:val="Heading2"/>
        <w:rPr/>
      </w:pPr>
      <w:r>
        <w:rPr/>
        <w:t>inQuire</w:t>
      </w:r>
    </w:p>
    <w:p>
      <w:pPr>
        <w:pStyle w:val="inVerseCorpo"/>
        <w:rPr/>
      </w:pPr>
      <w:r>
        <w:rPr/>
        <w:t>Mentre viaggiamo attraverso questo studio, è importante partecipare approfonditamente con il materiale e riflettere sulle sue implicazioni per la nostra fede e vita quotidiana. Nella tua classe della scuola del sabato (o gruppo di studi biblici), usa il modello delle domande seguenti per condurre una discussione ponderata sulla base del brano principale di questa settimana e dei versetti ausiliari.</w:t>
      </w:r>
    </w:p>
    <w:p>
      <w:pPr>
        <w:pStyle w:val="Heading4"/>
        <w:rPr/>
      </w:pPr>
      <w:bookmarkEnd w:id="10"/>
      <w:bookmarkEnd w:id="11"/>
      <w:bookmarkEnd w:id="12"/>
      <w:bookmarkEnd w:id="13"/>
      <w:bookmarkEnd w:id="14"/>
      <w:r>
        <w:rPr/>
        <w:t>Messaggi del cielo:</w:t>
      </w:r>
    </w:p>
    <w:p>
      <w:pPr>
        <w:pStyle w:val="inVerseDomanda"/>
        <w:rPr/>
      </w:pPr>
      <w:r>
        <w:rPr/>
        <w:t xml:space="preserve">1. Quali passi usò Dio per comunicare all’apostolo Giovanni il messaggio contenuto nel libro dell’Apocalisse? </w:t>
      </w:r>
      <w:r>
        <w:rPr>
          <w:color w:val="808080"/>
        </w:rPr>
        <w:t>Apocalisse 1:1–3</w:t>
      </w:r>
    </w:p>
    <w:p>
      <w:pPr>
        <w:pStyle w:val="inVerseDomanda"/>
        <w:rPr/>
      </w:pPr>
      <w:r>
        <w:rPr/>
        <w:t xml:space="preserve">2. Perché era imperativo per alcuni profeti scrivere i messaggi che Dio dava loro? </w:t>
      </w:r>
      <w:r>
        <w:rPr>
          <w:color w:val="808080"/>
        </w:rPr>
        <w:t>Apocalisse 1:19; Esodo 17:14; 1 Corinzi 10:11</w:t>
      </w:r>
    </w:p>
    <w:p>
      <w:pPr>
        <w:pStyle w:val="inVerseDomanda"/>
        <w:rPr/>
      </w:pPr>
      <w:r>
        <w:rPr/>
        <w:t xml:space="preserve">3. Quali sono alcuni modi in cui Dio dà le rivelazioni ai suoi profeti? </w:t>
      </w:r>
      <w:r>
        <w:rPr>
          <w:color w:val="808080"/>
        </w:rPr>
        <w:t>Numeri 12:6; Isaia 6:1, 8</w:t>
      </w:r>
    </w:p>
    <w:p>
      <w:pPr>
        <w:pStyle w:val="inVerseDomanda"/>
        <w:rPr/>
      </w:pPr>
      <w:r>
        <w:rPr/>
        <w:t xml:space="preserve">4. Dio come parla al suo popolo? </w:t>
      </w:r>
      <w:r>
        <w:rPr>
          <w:color w:val="808080"/>
        </w:rPr>
        <w:t>Ebrei 1:1, 2; 2 Pietro 1:19–21</w:t>
      </w:r>
    </w:p>
    <w:p>
      <w:pPr>
        <w:pStyle w:val="inVerseTesto"/>
        <w:rPr/>
      </w:pPr>
      <w:r>
        <w:rPr>
          <w:b/>
        </w:rPr>
        <w:t>Riflessione personale:</w:t>
      </w:r>
      <w:r>
        <w:rPr/>
        <w:t xml:space="preserve"> Perché è così importante che prestiamo attenzione quando Dio parla? </w:t>
      </w:r>
      <w:r>
        <w:rPr>
          <w:color w:val="808080"/>
        </w:rPr>
        <w:t>Cfr. 2 Cronache 36:15, 16.</w:t>
      </w:r>
    </w:p>
    <w:p>
      <w:pPr>
        <w:pStyle w:val="Heading4"/>
        <w:rPr/>
      </w:pPr>
      <w:r>
        <w:rPr/>
        <w:t>Scritti profetici:</w:t>
      </w:r>
    </w:p>
    <w:p>
      <w:pPr>
        <w:pStyle w:val="inVerseDomanda"/>
        <w:rPr/>
      </w:pPr>
      <w:r>
        <w:rPr/>
        <w:t xml:space="preserve">1. Perché c’è bisogno degli scritti dei profeti? </w:t>
      </w:r>
      <w:r>
        <w:rPr>
          <w:color w:val="808080"/>
        </w:rPr>
        <w:t>2 Timoteo 3:16, 17</w:t>
      </w:r>
    </w:p>
    <w:p>
      <w:pPr>
        <w:pStyle w:val="inVerseDomanda"/>
        <w:rPr/>
      </w:pPr>
      <w:r>
        <w:rPr/>
        <w:t xml:space="preserve">2. Le testimonianze dirette e le ricerche storiche ispirate dallo Spirito come contribuirono agli scritti della Bibbia? </w:t>
      </w:r>
      <w:r>
        <w:rPr>
          <w:color w:val="808080"/>
        </w:rPr>
        <w:t>Luca 1:1–3; 1 Giovanni 1:1–3</w:t>
      </w:r>
    </w:p>
    <w:p>
      <w:pPr>
        <w:pStyle w:val="inVerseDomanda"/>
        <w:rPr/>
      </w:pPr>
      <w:r>
        <w:rPr/>
        <w:t xml:space="preserve">3. Quale tipo di fonti non ispirate erano a volte citate dai profeti? </w:t>
      </w:r>
      <w:r>
        <w:rPr>
          <w:color w:val="808080"/>
        </w:rPr>
        <w:t>Atti 17:28; Tito 1:12</w:t>
      </w:r>
    </w:p>
    <w:p>
      <w:pPr>
        <w:pStyle w:val="inVerseTesto"/>
        <w:rPr/>
      </w:pPr>
      <w:r>
        <w:rPr>
          <w:b/>
        </w:rPr>
        <w:t>Riflessione personale</w:t>
      </w:r>
      <w:r>
        <w:rPr/>
        <w:t>: Perché è importante confidare nella Bibbia come Parola ispirata di Dio anche se non comprendiamo completamente come sia stata scritta?</w:t>
      </w:r>
    </w:p>
    <w:p>
      <w:pPr>
        <w:pStyle w:val="Heading4"/>
        <w:rPr/>
      </w:pPr>
      <w:r>
        <w:rPr/>
        <w:t>Altre forme di comunicazione:</w:t>
      </w:r>
    </w:p>
    <w:p>
      <w:pPr>
        <w:pStyle w:val="inVerseDomanda"/>
        <w:rPr/>
      </w:pPr>
      <w:r>
        <w:rPr/>
        <w:t xml:space="preserve">1. Tutti i profeti scrissero libri della Bibbia? In quali altri modi i profeti comunicavano i loro messaggi, a parte la scrittura? </w:t>
      </w:r>
      <w:r>
        <w:rPr>
          <w:color w:val="808080"/>
        </w:rPr>
        <w:t>2 Pietro 2:5</w:t>
      </w:r>
    </w:p>
    <w:p>
      <w:pPr>
        <w:pStyle w:val="inVerseDomanda"/>
        <w:rPr/>
      </w:pPr>
      <w:r>
        <w:rPr/>
        <w:t xml:space="preserve">2. Quale tipo di simboli, parabole e illustrazioni usavano a volte i profeti della Bibbia? </w:t>
      </w:r>
      <w:r>
        <w:rPr>
          <w:color w:val="808080"/>
        </w:rPr>
        <w:t>Ezechiele 4:1–8</w:t>
      </w:r>
    </w:p>
    <w:p>
      <w:pPr>
        <w:pStyle w:val="Heading4"/>
        <w:rPr/>
      </w:pPr>
      <w:r>
        <w:rPr/>
        <w:t>Punti chiave da ricordare:</w:t>
      </w:r>
    </w:p>
    <w:p>
      <w:pPr>
        <w:pStyle w:val="inVerseElenco"/>
        <w:rPr/>
      </w:pPr>
      <w:r>
        <w:rPr/>
        <w:t xml:space="preserve">• </w:t>
      </w:r>
      <w:r>
        <w:rPr/>
        <w:t>Con lo Spirito Santo, abbiamo più vantaggi adesso di quanti ne avessero i discepoli quando Gesù era presente fisicamente.</w:t>
      </w:r>
    </w:p>
    <w:p>
      <w:pPr>
        <w:pStyle w:val="inVerseElenco"/>
        <w:rPr/>
      </w:pPr>
      <w:r>
        <w:rPr/>
        <w:t xml:space="preserve">• </w:t>
      </w:r>
      <w:r>
        <w:rPr/>
        <w:t>Il dolore non è privo di scopo. Gesù si serve della nostra sofferenza e del nostro dolore per creare qualcosa di bello, che porta a una gioia che non può essere portata via da nessuno.</w:t>
      </w:r>
    </w:p>
    <w:p>
      <w:pPr>
        <w:pStyle w:val="inVerseElenco"/>
        <w:rPr/>
      </w:pPr>
      <w:r>
        <w:rPr/>
        <w:t xml:space="preserve">• </w:t>
      </w:r>
      <w:r>
        <w:rPr/>
        <w:t>Gesù sapeva che i discepoli l’avrebbero abbandonato, ma li rassicurò comunque che «il Padre stesso vi ama». Ci assicura la stessa cosa.</w:t>
      </w:r>
    </w:p>
    <w:sectPr>
      <w:headerReference w:type="default" r:id="rId4"/>
      <w:footnotePr>
        <w:numFmt w:val="decimal"/>
      </w:footnotePr>
      <w:type w:val="nextPage"/>
      <w:pgSz w:w="11906" w:h="16838"/>
      <w:pgMar w:left="1701" w:right="1701"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mic Sans MS">
    <w:charset w:val="00" w:characterSet="windows-1252"/>
    <w:family w:val="script"/>
    <w:pitch w:val="variable"/>
  </w:font>
  <w:font w:name="Courier New">
    <w:charset w:val="00" w:characterSet="windows-1252"/>
    <w:family w:val="modern"/>
    <w:pitch w:val="default"/>
  </w:font>
  <w:font w:name="Wingdings">
    <w:charset w:val="02"/>
    <w:family w:val="auto"/>
    <w:pitch w:val="variable"/>
  </w:font>
  <w:font w:name="Helvetica">
    <w:altName w:val="Arial"/>
    <w:charset w:val="00" w:characterSet="windows-1252"/>
    <w:family w:val="swiss"/>
    <w:pitch w:val="variable"/>
  </w:font>
  <w:font w:name="Tahoma">
    <w:charset w:val="00" w:characterSet="windows-1252"/>
    <w:family w:val="swiss"/>
    <w:pitch w:val="variable"/>
  </w:font>
  <w:font w:name="Liberation Sans">
    <w:altName w:val="Arial"/>
    <w:charset w:val="01" w:characterSet="utf-8"/>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Montserrat-Bold">
    <w:altName w:val="Cambria"/>
    <w:charset w:val="00" w:characterSet="windows-1252"/>
    <w:family w:val="auto"/>
    <w:pitch w:val="default"/>
  </w:font>
  <w:font w:name="Verdana">
    <w:charset w:val="00" w:characterSet="windows-1252"/>
    <w:family w:val="swiss"/>
    <w:pitch w:val="variable"/>
  </w:font>
  <w:font w:name="Merriweather">
    <w:altName w:val="Cambria"/>
    <w:charset w:val="00" w:characterSet="windows-1252"/>
    <w:family w:val="auto"/>
    <w:pitch w:val="default"/>
  </w:font>
  <w:font w:name="Montserrat-Regular">
    <w:altName w:val="Cambria"/>
    <w:charset w:val="00" w:characterSet="windows-125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footnoteRef/>
      </w:r>
      <w:r>
        <w:rPr>
          <w:lang w:val="it-IT"/>
        </w:rPr>
        <w:t xml:space="preserve"> </w:t>
      </w:r>
      <w:r>
        <w:rPr>
          <w:bCs/>
          <w:iCs/>
          <w:lang w:val="it-IT"/>
        </w:rPr>
        <w:t>Ellen G. White, Princìpi di educazione cristiana, p.71</w:t>
      </w:r>
    </w:p>
  </w:footnote>
  <w:footnote w:id="3">
    <w:p>
      <w:pPr>
        <w:pStyle w:val="FootnoteText"/>
        <w:rPr/>
      </w:pPr>
      <w:r>
        <w:rPr>
          <w:rStyle w:val="FootnoteCharacters"/>
        </w:rPr>
        <w:footnoteRef/>
      </w:r>
      <w:r>
        <w:rPr>
          <w:lang w:val="it-IT"/>
        </w:rPr>
        <w:t xml:space="preserve"> </w:t>
      </w:r>
      <w:r>
        <w:rPr>
          <w:lang w:val="it-IT"/>
        </w:rPr>
        <w:t>Ellen G. White, Messaggi scelti vol. 1, p.11</w:t>
      </w:r>
    </w:p>
  </w:footnote>
  <w:footnote w:id="4">
    <w:p>
      <w:pPr>
        <w:pStyle w:val="FootnoteText"/>
        <w:rPr/>
      </w:pPr>
      <w:r>
        <w:rPr>
          <w:rStyle w:val="FootnoteCharacters"/>
        </w:rPr>
        <w:footnoteRef/>
      </w:r>
      <w:r>
        <w:rPr>
          <w:lang w:val="it-IT"/>
        </w:rPr>
        <w:t xml:space="preserve"> </w:t>
      </w:r>
      <w:r>
        <w:rPr>
          <w:lang w:val="it-IT"/>
        </w:rPr>
        <w:t>Ellen G. White, Il gran conflitto, p.15</w:t>
      </w:r>
    </w:p>
  </w:footnote>
  <w:footnote w:id="5">
    <w:p>
      <w:pPr>
        <w:pStyle w:val="FootnoteText"/>
        <w:rPr/>
      </w:pPr>
      <w:r>
        <w:rPr>
          <w:rStyle w:val="FootnoteCharacters"/>
        </w:rPr>
        <w:footnoteRef/>
      </w:r>
      <w:r>
        <w:rPr>
          <w:lang w:val="it-IT"/>
        </w:rPr>
        <w:t xml:space="preserve"> </w:t>
      </w:r>
      <w:r>
        <w:rPr>
          <w:lang w:val="it-IT"/>
        </w:rPr>
        <w:t>Ellen G. White, Messaggi scelti, vol.3, p. 47</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end"/>
      <w:rPr/>
    </w:pPr>
    <w:r>
      <w:rPr/>
      <w:fldChar w:fldCharType="begin"/>
    </w:r>
    <w:r>
      <w:rPr/>
      <w:instrText xml:space="preserve"> PAGE </w:instrText>
    </w:r>
    <w:r>
      <w:rPr/>
      <w:fldChar w:fldCharType="separate"/>
    </w:r>
    <w:r>
      <w:rPr/>
      <w:t>8</w:t>
    </w:r>
    <w:r>
      <w:rPr/>
      <w:fldChar w:fldCharType="end"/>
    </w:r>
  </w:p>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pStyle w:val="Heading7"/>
      <w:numFmt w:val="none"/>
      <w:suff w:val="nothing"/>
      <w:lvlText w:val=""/>
      <w:lvlJc w:val="start"/>
      <w:pPr>
        <w:tabs>
          <w:tab w:val="num" w:pos="0"/>
        </w:tabs>
        <w:ind w:start="0" w:hanging="0"/>
      </w:pPr>
    </w:lvl>
    <w:lvl w:ilvl="7">
      <w:start w:val="1"/>
      <w:pStyle w:val="Heading8"/>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30"/>
  <w:displayBackgroundShape/>
  <w:defaultTabStop w:val="708"/>
  <w:autoHyphenation w:val="true"/>
  <w:footnotePr>
    <w:numFmt w:val="decimal"/>
    <w:footnote w:id="0"/>
    <w:footnote w:id="1"/>
  </w:footnotePr>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4"/>
      <w:szCs w:val="24"/>
      <w:lang w:val="it-IT" w:eastAsia="zh-CN" w:bidi="ar-SA"/>
    </w:rPr>
  </w:style>
  <w:style w:type="paragraph" w:styleId="Heading5">
    <w:name w:val="Heading 5"/>
    <w:basedOn w:val="Normal"/>
    <w:next w:val="Normal"/>
    <w:qFormat/>
    <w:pPr>
      <w:keepNext w:val="true"/>
      <w:numPr>
        <w:ilvl w:val="4"/>
        <w:numId w:val="1"/>
      </w:numPr>
      <w:tabs>
        <w:tab w:val="clear" w:pos="708"/>
        <w:tab w:val="left" w:pos="3047" w:leader="none"/>
      </w:tabs>
      <w:jc w:val="both"/>
      <w:outlineLvl w:val="4"/>
    </w:pPr>
    <w:rPr>
      <w:rFonts w:ascii="Comic Sans MS" w:hAnsi="Comic Sans MS" w:cs="Comic Sans MS"/>
      <w:b/>
      <w:bCs/>
      <w:sz w:val="22"/>
      <w:lang w:val="en-GB"/>
    </w:rPr>
  </w:style>
  <w:style w:type="paragraph" w:styleId="Heading6">
    <w:name w:val="Heading 6"/>
    <w:basedOn w:val="Normal"/>
    <w:next w:val="Normal"/>
    <w:qFormat/>
    <w:pPr>
      <w:keepNext w:val="true"/>
      <w:numPr>
        <w:ilvl w:val="5"/>
        <w:numId w:val="1"/>
      </w:numPr>
      <w:tabs>
        <w:tab w:val="clear" w:pos="708"/>
        <w:tab w:val="left" w:pos="3047" w:leader="none"/>
      </w:tabs>
      <w:jc w:val="center"/>
      <w:outlineLvl w:val="5"/>
    </w:pPr>
    <w:rPr>
      <w:rFonts w:ascii="Comic Sans MS" w:hAnsi="Comic Sans MS" w:cs="Comic Sans MS"/>
      <w:b/>
      <w:bCs/>
      <w:sz w:val="22"/>
    </w:rPr>
  </w:style>
  <w:style w:type="paragraph" w:styleId="Heading7">
    <w:name w:val="Heading 7"/>
    <w:basedOn w:val="Normal"/>
    <w:next w:val="Normal"/>
    <w:qFormat/>
    <w:pPr>
      <w:keepNext w:val="true"/>
      <w:numPr>
        <w:ilvl w:val="6"/>
        <w:numId w:val="1"/>
      </w:numPr>
      <w:jc w:val="center"/>
      <w:outlineLvl w:val="6"/>
    </w:pPr>
    <w:rPr>
      <w:rFonts w:ascii="Comic Sans MS" w:hAnsi="Comic Sans MS" w:cs="Comic Sans MS"/>
      <w:sz w:val="36"/>
    </w:rPr>
  </w:style>
  <w:style w:type="paragraph" w:styleId="Heading8">
    <w:name w:val="Heading 8"/>
    <w:basedOn w:val="Normal"/>
    <w:next w:val="Normal"/>
    <w:qFormat/>
    <w:pPr>
      <w:keepNext w:val="true"/>
      <w:numPr>
        <w:ilvl w:val="7"/>
        <w:numId w:val="1"/>
      </w:numPr>
      <w:jc w:val="center"/>
      <w:outlineLvl w:val="7"/>
    </w:pPr>
    <w:rPr>
      <w:rFonts w:ascii="Comic Sans MS" w:hAnsi="Comic Sans MS" w:cs="Comic Sans MS"/>
      <w:i/>
      <w:iCs/>
      <w:sz w:val="16"/>
      <w:lang w:val="en-GB"/>
    </w:rPr>
  </w:style>
  <w:style w:type="character" w:styleId="Carpredefinitoparagrafo">
    <w:name w:val="Car. predefinito paragrafo"/>
    <w:qFormat/>
    <w:rPr/>
  </w:style>
  <w:style w:type="character" w:styleId="WW8Num5z0">
    <w:name w:val="WW8Num5z0"/>
    <w:qFormat/>
    <w:rPr>
      <w:rFonts w:ascii="Symbol" w:hAnsi="Symbol" w:cs="Symbol"/>
      <w:sz w:val="20"/>
    </w:rPr>
  </w:style>
  <w:style w:type="character" w:styleId="WW8Num5z1">
    <w:name w:val="WW8Num5z1"/>
    <w:qFormat/>
    <w:rPr>
      <w:rFonts w:ascii="Courier New" w:hAnsi="Courier New" w:cs="Courier New"/>
      <w:sz w:val="20"/>
    </w:rPr>
  </w:style>
  <w:style w:type="character" w:styleId="WW8Num5z2">
    <w:name w:val="WW8Num5z2"/>
    <w:qFormat/>
    <w:rPr>
      <w:rFonts w:ascii="Wingdings" w:hAnsi="Wingdings" w:cs="Wingdings"/>
      <w:sz w:val="20"/>
    </w:rPr>
  </w:style>
  <w:style w:type="character" w:styleId="WW8Num18z0">
    <w:name w:val="WW8Num18z0"/>
    <w:qFormat/>
    <w:rPr>
      <w:rFonts w:ascii="Symbol" w:hAnsi="Symbol" w:cs="Symbol"/>
      <w:sz w:val="20"/>
    </w:rPr>
  </w:style>
  <w:style w:type="character" w:styleId="WW8Num18z1">
    <w:name w:val="WW8Num18z1"/>
    <w:qFormat/>
    <w:rPr>
      <w:rFonts w:ascii="Courier New" w:hAnsi="Courier New" w:cs="Courier New"/>
      <w:sz w:val="20"/>
    </w:rPr>
  </w:style>
  <w:style w:type="character" w:styleId="WW8Num18z2">
    <w:name w:val="WW8Num18z2"/>
    <w:qFormat/>
    <w:rPr>
      <w:rFonts w:ascii="Wingdings" w:hAnsi="Wingdings" w:cs="Wingdings"/>
      <w:sz w:val="20"/>
    </w:rPr>
  </w:style>
  <w:style w:type="character" w:styleId="WW8Num28z0">
    <w:name w:val="WW8Num28z0"/>
    <w:qFormat/>
    <w:rPr>
      <w:rFonts w:ascii="Symbol" w:hAnsi="Symbol" w:cs="Symbol"/>
      <w:sz w:val="20"/>
    </w:rPr>
  </w:style>
  <w:style w:type="character" w:styleId="WW8Num28z1">
    <w:name w:val="WW8Num28z1"/>
    <w:qFormat/>
    <w:rPr>
      <w:rFonts w:ascii="Courier New" w:hAnsi="Courier New" w:cs="Courier New"/>
      <w:sz w:val="20"/>
    </w:rPr>
  </w:style>
  <w:style w:type="character" w:styleId="WW8Num28z2">
    <w:name w:val="WW8Num28z2"/>
    <w:qFormat/>
    <w:rPr>
      <w:rFonts w:ascii="Wingdings" w:hAnsi="Wingdings" w:cs="Wingdings"/>
      <w:sz w:val="20"/>
    </w:rPr>
  </w:style>
  <w:style w:type="character" w:styleId="DefaultParagraphFont">
    <w:name w:val="Default Paragraph Font"/>
    <w:qFormat/>
    <w:rPr/>
  </w:style>
  <w:style w:type="character" w:styleId="WW8Num2z0">
    <w:name w:val="WW8Num2z0"/>
    <w:qFormat/>
    <w:rPr>
      <w:rFonts w:ascii="Symbol" w:hAnsi="Symbol" w:cs="Symbol"/>
    </w:rPr>
  </w:style>
  <w:style w:type="character" w:styleId="WW8Num10z0">
    <w:name w:val="WW8Num10z0"/>
    <w:qFormat/>
    <w:rPr>
      <w:rFonts w:ascii="Symbol" w:hAnsi="Symbol" w:cs="Symbol"/>
    </w:rPr>
  </w:style>
  <w:style w:type="character" w:styleId="WW8Num15z0">
    <w:name w:val="WW8Num15z0"/>
    <w:qFormat/>
    <w:rPr>
      <w:rFonts w:ascii="Symbol" w:hAnsi="Symbol" w:cs="Symbol"/>
      <w:sz w:val="20"/>
    </w:rPr>
  </w:style>
  <w:style w:type="character" w:styleId="WW8Num15z1">
    <w:name w:val="WW8Num15z1"/>
    <w:qFormat/>
    <w:rPr>
      <w:rFonts w:ascii="Courier New" w:hAnsi="Courier New" w:cs="Courier New"/>
      <w:sz w:val="20"/>
    </w:rPr>
  </w:style>
  <w:style w:type="character" w:styleId="WW8Num15z2">
    <w:name w:val="WW8Num15z2"/>
    <w:qFormat/>
    <w:rPr>
      <w:rFonts w:ascii="Wingdings" w:hAnsi="Wingdings" w:cs="Wingdings"/>
      <w:sz w:val="20"/>
    </w:rPr>
  </w:style>
  <w:style w:type="character" w:styleId="WW-DefaultParagraphFont">
    <w:name w:val="WW-Default Paragraph Font"/>
    <w:qFormat/>
    <w:rPr/>
  </w:style>
  <w:style w:type="character" w:styleId="WW8Num1z0">
    <w:name w:val="WW8Num1z0"/>
    <w:qFormat/>
    <w:rPr>
      <w:rFonts w:ascii="Symbol" w:hAnsi="Symbol" w:cs="Symbol"/>
    </w:rPr>
  </w:style>
  <w:style w:type="character" w:styleId="WW8Num9z0">
    <w:name w:val="WW8Num9z0"/>
    <w:qFormat/>
    <w:rPr>
      <w:rFonts w:ascii="Symbol" w:hAnsi="Symbol" w:cs="Symbol"/>
    </w:rPr>
  </w:style>
  <w:style w:type="character" w:styleId="WW-DefaultParagraphFont1">
    <w:name w:val="WW-Default Paragraph Font1"/>
    <w:qFormat/>
    <w:rPr/>
  </w:style>
  <w:style w:type="character" w:styleId="pr">
    <w:name w:val="pr"/>
    <w:basedOn w:val="WW-DefaultParagraphFont1"/>
    <w:qFormat/>
    <w:rPr/>
  </w:style>
  <w:style w:type="character" w:styleId="FootnoteTextChar">
    <w:name w:val="Footnote Text Char"/>
    <w:qFormat/>
    <w:rPr>
      <w:rFonts w:ascii="Helvetica" w:hAnsi="Helvetica" w:eastAsia="ヒラギノ角ゴ Pro W3;MS Mincho" w:cs="Helvetica"/>
      <w:color w:val="000000"/>
      <w:lang w:val="en-US" w:bidi="ar-SA"/>
    </w:rPr>
  </w:style>
  <w:style w:type="character" w:styleId="FooterChar">
    <w:name w:val="Footer Char"/>
    <w:qFormat/>
    <w:rPr>
      <w:rFonts w:ascii="Arial" w:hAnsi="Arial" w:eastAsia="SimSun;宋体" w:cs="Arial"/>
      <w:kern w:val="2"/>
      <w:sz w:val="24"/>
      <w:szCs w:val="32"/>
      <w:lang w:val="en-AU" w:eastAsia="zh-CN" w:bidi="ar-SA"/>
    </w:rPr>
  </w:style>
  <w:style w:type="character" w:styleId="Hyperlink">
    <w:name w:val="Hyperlink"/>
    <w:rPr>
      <w:color w:val="0000FF"/>
      <w:u w:val="single"/>
    </w:rPr>
  </w:style>
  <w:style w:type="character" w:styleId="CarattereCarattere1">
    <w:name w:val=" Carattere Carattere1"/>
    <w:qFormat/>
    <w:rPr>
      <w:rFonts w:ascii="Arial" w:hAnsi="Arial" w:cs="Arial"/>
      <w:lang w:val="en-GB"/>
    </w:rPr>
  </w:style>
  <w:style w:type="character" w:styleId="evidente">
    <w:name w:val="evidente"/>
    <w:basedOn w:val="WW-DefaultParagraphFont1"/>
    <w:qFormat/>
    <w:rPr/>
  </w:style>
  <w:style w:type="character" w:styleId="definizione">
    <w:name w:val="definizione"/>
    <w:basedOn w:val="WW-DefaultParagraphFont1"/>
    <w:qFormat/>
    <w:rPr/>
  </w:style>
  <w:style w:type="character" w:styleId="Caratterinotaapidipagina">
    <w:name w:val="Caratteri nota a piè di pagina"/>
    <w:qFormat/>
    <w:rPr>
      <w:vertAlign w:val="superscript"/>
    </w:rPr>
  </w:style>
  <w:style w:type="character" w:styleId="text">
    <w:name w:val="text"/>
    <w:basedOn w:val="WW-DefaultParagraphFont1"/>
    <w:qFormat/>
    <w:rPr/>
  </w:style>
  <w:style w:type="character" w:styleId="HeaderChar">
    <w:name w:val="Header Char"/>
    <w:qFormat/>
    <w:rPr>
      <w:sz w:val="24"/>
      <w:szCs w:val="24"/>
    </w:rPr>
  </w:style>
  <w:style w:type="character" w:styleId="EndnoteTextChar">
    <w:name w:val="Endnote Text Char"/>
    <w:basedOn w:val="WW-DefaultParagraphFont1"/>
    <w:qFormat/>
    <w:rPr>
      <w:rFonts w:ascii="Tahoma" w:hAnsi="Tahoma" w:cs="Tahoma"/>
      <w:lang w:val="en-US"/>
    </w:rPr>
  </w:style>
  <w:style w:type="character" w:styleId="FootnoteReference1">
    <w:name w:val="Footnote Reference1"/>
    <w:qFormat/>
    <w:rPr>
      <w:vertAlign w:val="superscript"/>
    </w:rPr>
  </w:style>
  <w:style w:type="character" w:styleId="Caratterinotadichiusura">
    <w:name w:val="Caratteri nota di chiusura"/>
    <w:qFormat/>
    <w:rPr>
      <w:vertAlign w:val="superscript"/>
    </w:rPr>
  </w:style>
  <w:style w:type="character" w:styleId="WW-Caratterinotadichiusura">
    <w:name w:val="WW-Caratteri nota di chiusura"/>
    <w:qFormat/>
    <w:rPr/>
  </w:style>
  <w:style w:type="character" w:styleId="FootnoteReference2">
    <w:name w:val="Footnote Reference2"/>
    <w:qFormat/>
    <w:rPr>
      <w:vertAlign w:val="superscript"/>
    </w:rPr>
  </w:style>
  <w:style w:type="character" w:styleId="EndnoteReference1">
    <w:name w:val="Endnote Reference1"/>
    <w:qFormat/>
    <w:rPr>
      <w:vertAlign w:val="superscript"/>
    </w:rPr>
  </w:style>
  <w:style w:type="character" w:styleId="FootnoteCharacters">
    <w:name w:val="Footnote Characters"/>
    <w:qFormat/>
    <w:rPr>
      <w:vertAlign w:val="superscript"/>
    </w:rPr>
  </w:style>
  <w:style w:type="character" w:styleId="LineNumber">
    <w:name w:val="Line Number"/>
    <w:rPr/>
  </w:style>
  <w:style w:type="character" w:styleId="EndnoteCharacters">
    <w:name w:val="Endnote Characters"/>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tabs>
        <w:tab w:val="clear" w:pos="708"/>
        <w:tab w:val="left" w:pos="3047" w:leader="none"/>
      </w:tabs>
    </w:pPr>
    <w:rPr>
      <w:rFonts w:ascii="Comic Sans MS" w:hAnsi="Comic Sans MS" w:cs="Comic Sans MS"/>
      <w:b/>
      <w:bCs/>
      <w:sz w:val="22"/>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olo1">
    <w:name w:val="Titolo1"/>
    <w:basedOn w:val="Normal"/>
    <w:next w:val="BodyText"/>
    <w:qFormat/>
    <w:pPr>
      <w:keepNext w:val="true"/>
      <w:spacing w:before="240" w:after="120"/>
    </w:pPr>
    <w:rPr>
      <w:rFonts w:ascii="Liberation Sans" w:hAnsi="Liberation Sans" w:eastAsia="Noto Sans CJK SC" w:cs="Lohit Devanagari"/>
      <w:sz w:val="28"/>
      <w:szCs w:val="28"/>
    </w:rPr>
  </w:style>
  <w:style w:type="paragraph" w:styleId="Didascalia">
    <w:name w:val="Didascalia"/>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BodyText2">
    <w:name w:val="Body Text 2"/>
    <w:basedOn w:val="Normal"/>
    <w:qFormat/>
    <w:pPr/>
    <w:rPr>
      <w:rFonts w:ascii="Comic Sans MS" w:hAnsi="Comic Sans MS" w:cs="Comic Sans MS"/>
      <w:sz w:val="36"/>
    </w:rPr>
  </w:style>
  <w:style w:type="paragraph" w:styleId="BodyText3">
    <w:name w:val="Body Text 3"/>
    <w:basedOn w:val="Normal"/>
    <w:qFormat/>
    <w:pPr/>
    <w:rPr>
      <w:rFonts w:ascii="Comic Sans MS" w:hAnsi="Comic Sans MS" w:cs="Comic Sans MS"/>
      <w:sz w:val="22"/>
    </w:rPr>
  </w:style>
  <w:style w:type="paragraph" w:styleId="FootnoteText">
    <w:name w:val="Footnote Text"/>
    <w:pPr>
      <w:widowControl/>
      <w:suppressAutoHyphens w:val="true"/>
      <w:bidi w:val="0"/>
    </w:pPr>
    <w:rPr>
      <w:rFonts w:ascii="Helvetica" w:hAnsi="Helvetica" w:eastAsia="ヒラギノ角ゴ Pro W3;MS Mincho" w:cs="Helvetica"/>
      <w:color w:val="000000"/>
      <w:sz w:val="20"/>
      <w:szCs w:val="20"/>
      <w:lang w:val="en-US" w:eastAsia="zh-CN" w:bidi="ar-SA"/>
    </w:rPr>
  </w:style>
  <w:style w:type="paragraph" w:styleId="Intestazioneepidipagina">
    <w:name w:val="Intestazione e piè di pagina"/>
    <w:basedOn w:val="Normal"/>
    <w:qFormat/>
    <w:pPr>
      <w:suppressLineNumbers/>
      <w:tabs>
        <w:tab w:val="clear" w:pos="708"/>
        <w:tab w:val="center" w:pos="4819" w:leader="none"/>
        <w:tab w:val="right" w:pos="9638" w:leader="none"/>
      </w:tabs>
    </w:pPr>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320" w:leader="none"/>
        <w:tab w:val="right" w:pos="8640" w:leader="none"/>
      </w:tabs>
    </w:pPr>
    <w:rPr>
      <w:rFonts w:ascii="Arial" w:hAnsi="Arial" w:eastAsia="SimSun;宋体" w:cs="Arial"/>
      <w:kern w:val="2"/>
      <w:szCs w:val="32"/>
      <w:lang w:val="en-AU" w:eastAsia="zh-CN"/>
    </w:rPr>
  </w:style>
  <w:style w:type="paragraph" w:styleId="NormalWeb">
    <w:name w:val="Normal (Web)"/>
    <w:basedOn w:val="Normal"/>
    <w:qFormat/>
    <w:pPr>
      <w:spacing w:before="280" w:after="280"/>
    </w:pPr>
    <w:rPr/>
  </w:style>
  <w:style w:type="paragraph" w:styleId="NoSpacing1">
    <w:name w:val="No Spacing1"/>
    <w:qFormat/>
    <w:pPr>
      <w:widowControl/>
      <w:suppressAutoHyphens w:val="true"/>
      <w:bidi w:val="0"/>
    </w:pPr>
    <w:rPr>
      <w:rFonts w:ascii="Calibri" w:hAnsi="Calibri" w:eastAsia="Calibri" w:cs="Calibri"/>
      <w:color w:val="auto"/>
      <w:sz w:val="22"/>
      <w:szCs w:val="22"/>
      <w:lang w:val="en-US" w:eastAsia="zh-CN" w:bidi="ar-SA"/>
    </w:rPr>
  </w:style>
  <w:style w:type="paragraph" w:styleId="Header">
    <w:name w:val="Header"/>
    <w:basedOn w:val="Normal"/>
    <w:pPr>
      <w:tabs>
        <w:tab w:val="clear" w:pos="708"/>
        <w:tab w:val="center" w:pos="4819" w:leader="none"/>
        <w:tab w:val="right" w:pos="9638" w:leader="none"/>
      </w:tabs>
    </w:pPr>
    <w:rPr>
      <w:lang w:val="en-US"/>
    </w:rPr>
  </w:style>
  <w:style w:type="paragraph" w:styleId="EndnoteText">
    <w:name w:val="Endnote Text"/>
    <w:basedOn w:val="Normal"/>
    <w:pPr/>
    <w:rPr>
      <w:rFonts w:ascii="Tahoma" w:hAnsi="Tahoma" w:cs="Tahoma"/>
      <w:sz w:val="20"/>
      <w:szCs w:val="20"/>
      <w:lang w:val="en-US"/>
    </w:rPr>
  </w:style>
  <w:style w:type="paragraph" w:styleId="Contenutotabella">
    <w:name w:val="Contenuto tabella"/>
    <w:basedOn w:val="Normal"/>
    <w:qFormat/>
    <w:pPr>
      <w:widowControl w:val="false"/>
      <w:suppressLineNumbers/>
      <w:suppressAutoHyphens w:val="true"/>
      <w:spacing w:lineRule="auto" w:line="276" w:before="0" w:after="200"/>
    </w:pPr>
    <w:rPr>
      <w:rFonts w:ascii="Calibri" w:hAnsi="Calibri" w:eastAsia="Calibri" w:cs="Times New Roman"/>
      <w:sz w:val="22"/>
      <w:szCs w:val="22"/>
    </w:rPr>
  </w:style>
  <w:style w:type="paragraph" w:styleId="western">
    <w:name w:val="western"/>
    <w:basedOn w:val="Normal"/>
    <w:qFormat/>
    <w:pPr>
      <w:suppressAutoHyphens w:val="false"/>
      <w:spacing w:lineRule="auto" w:line="276" w:before="280" w:after="142"/>
    </w:pPr>
    <w:rPr>
      <w:rFonts w:ascii="Calibri" w:hAnsi="Calibri" w:cs="Calibri"/>
      <w:color w:val="000000"/>
      <w:sz w:val="22"/>
      <w:szCs w:val="22"/>
    </w:rPr>
  </w:style>
  <w:style w:type="numbering" w:styleId="WW8Num1">
    <w:name w:val="WW8Num1"/>
    <w:qFormat/>
  </w:style>
  <w:style w:type="paragraph" w:styleId="Heading1">
    <w:name w:val="heading 1"/>
    <w:basedOn w:val="Normal"/>
    <w:next w:val="Normal"/>
    <w:uiPriority w:val="9"/>
    <w:qFormat/>
    <w:pPr>
      <w:keepNext/>
      <w:keepLines/>
      <w:spacing w:before="240" w:after="960" w:line="240" w:lineRule="auto"/>
      <w:jc w:val="center"/>
      <w:outlineLvl w:val="0"/>
    </w:pPr>
    <w:rPr>
      <w:rFonts w:ascii="Merriweather" w:hAnsi="Merriweather" w:cs="Merriweather" w:eastAsia="Merriweather"/>
      <w:b/>
      <w:bCs/>
      <w:color w:val="4E8477"/>
      <w:sz w:val="68"/>
      <w:szCs w:val="68"/>
    </w:rPr>
  </w:style>
  <w:style w:type="paragraph" w:styleId="Heading2">
    <w:name w:val="heading 2"/>
    <w:basedOn w:val="Normal"/>
    <w:next w:val="Normal"/>
    <w:uiPriority w:val="9"/>
    <w:qFormat/>
    <w:pPr>
      <w:keepNext/>
      <w:keepLines/>
      <w:spacing w:before="0" w:after="140"/>
      <w:outlineLvl w:val="1"/>
    </w:pPr>
    <w:rPr>
      <w:rFonts w:ascii="Montserrat" w:hAnsi="Montserrat" w:cs="Montserrat" w:eastAsia="Montserrat"/>
      <w:b/>
      <w:bCs/>
      <w:color w:val="4E8477"/>
      <w:spacing w:val="14"/>
      <w:sz w:val="22"/>
      <w:szCs w:val="22"/>
    </w:rPr>
  </w:style>
  <w:style w:type="paragraph" w:styleId="Heading3">
    <w:name w:val="heading 3"/>
    <w:basedOn w:val="Normal"/>
    <w:next w:val="Normal"/>
    <w:uiPriority w:val="9"/>
    <w:qFormat/>
    <w:pPr>
      <w:keepNext/>
      <w:keepLines/>
      <w:spacing w:before="0" w:after="120"/>
      <w:outlineLvl w:val="2"/>
    </w:pPr>
    <w:rPr>
      <w:rFonts w:ascii="Montserrat" w:hAnsi="Montserrat" w:cs="Montserrat" w:eastAsia="Montserrat"/>
      <w:color w:val="555656"/>
      <w:sz w:val="36"/>
      <w:szCs w:val="36"/>
    </w:rPr>
  </w:style>
  <w:style w:type="paragraph" w:styleId="Heading4">
    <w:name w:val="heading 4"/>
    <w:basedOn w:val="Normal"/>
    <w:next w:val="Normal"/>
    <w:uiPriority w:val="9"/>
    <w:qFormat/>
    <w:pPr>
      <w:keepNext/>
      <w:keepLines/>
      <w:spacing w:before="220" w:after="60"/>
      <w:outlineLvl w:val="3"/>
    </w:pPr>
    <w:rPr>
      <w:rFonts w:ascii="Times New Roman" w:hAnsi="Times New Roman" w:cs="Times New Roman" w:eastAsia="Times New Roman"/>
      <w:b/>
      <w:bCs/>
      <w:color w:val="4F6228"/>
      <w:sz w:val="24"/>
      <w:szCs w:val="24"/>
    </w:rPr>
  </w:style>
  <w:style w:type="paragraph" w:styleId="inVerseTestata">
    <w:name w:val="inVerse Testata"/>
    <w:basedOn w:val="Normal"/>
    <w:next w:val="Normal"/>
    <w:qFormat/>
    <w:pPr>
      <w:spacing w:before="0" w:after="0"/>
    </w:pPr>
    <w:rPr>
      <w:rFonts w:ascii="Montserrat" w:hAnsi="Montserrat" w:cs="Montserrat" w:eastAsia="Montserrat"/>
      <w:b/>
      <w:bCs/>
      <w:sz w:val="32"/>
      <w:szCs w:val="32"/>
    </w:rPr>
  </w:style>
  <w:style w:type="paragraph" w:styleId="inVerseRifLezione">
    <w:name w:val="inVerse Riferimento lezione"/>
    <w:basedOn w:val="Normal"/>
    <w:next w:val="Normal"/>
    <w:qFormat/>
    <w:pPr>
      <w:spacing w:before="0" w:after="0"/>
      <w:jc w:val="end"/>
    </w:pPr>
    <w:rPr>
      <w:rFonts w:ascii="Montserrat" w:hAnsi="Montserrat" w:cs="Montserrat" w:eastAsia="Montserrat"/>
      <w:b/>
      <w:bCs/>
      <w:color w:val="B6B7B8"/>
      <w:sz w:val="32"/>
      <w:szCs w:val="32"/>
    </w:rPr>
  </w:style>
  <w:style w:type="paragraph" w:styleId="inVerseFiletto">
    <w:name w:val="inVerse Filetto"/>
    <w:basedOn w:val="Normal"/>
    <w:next w:val="Normal"/>
    <w:qFormat/>
    <w:pPr>
      <w:keepNext/>
      <w:spacing w:before="520" w:after="0"/>
    </w:pPr>
    <w:rPr>
      <w:rFonts w:ascii="Montserrat" w:hAnsi="Montserrat" w:cs="Montserrat" w:eastAsia="Montserrat"/>
      <w:sz w:val="32"/>
      <w:szCs w:val="32"/>
    </w:rPr>
  </w:style>
  <w:style w:type="paragraph" w:styleId="inVerseSpazio">
    <w:name w:val="inVerse Spazio sezione"/>
    <w:basedOn w:val="Normal"/>
    <w:next w:val="Normal"/>
    <w:qFormat/>
    <w:pPr>
      <w:keepNext/>
      <w:spacing w:before="520" w:after="0"/>
    </w:pPr>
    <w:rPr>
      <w:rFonts w:ascii="Montserrat" w:hAnsi="Montserrat" w:cs="Montserrat" w:eastAsia="Montserrat"/>
      <w:sz w:val="32"/>
      <w:szCs w:val="32"/>
    </w:rPr>
  </w:style>
  <w:style w:type="paragraph" w:styleId="inVerseBrano">
    <w:name w:val="inVerse Brano della settimana"/>
    <w:basedOn w:val="Normal"/>
    <w:next w:val="Normal"/>
    <w:qFormat/>
    <w:pPr>
      <w:spacing w:before="0" w:after="200"/>
    </w:pPr>
    <w:rPr>
      <w:rFonts w:ascii="Montserrat" w:hAnsi="Montserrat" w:cs="Montserrat" w:eastAsia="Montserrat"/>
      <w:color w:val="4E8477"/>
      <w:sz w:val="22"/>
      <w:szCs w:val="22"/>
    </w:rPr>
  </w:style>
  <w:style w:type="paragraph" w:styleId="inVerseCorpo">
    <w:name w:val="inVerse Corpo"/>
    <w:basedOn w:val="Normal"/>
    <w:next w:val="Normal"/>
    <w:qFormat/>
    <w:pPr>
      <w:spacing w:before="0" w:after="0"/>
      <w:ind w:firstLine="284"/>
    </w:pPr>
    <w:rPr>
      <w:rFonts w:ascii="Times New Roman" w:hAnsi="Times New Roman" w:cs="Times New Roman" w:eastAsia="Times New Roman"/>
      <w:sz w:val="24"/>
      <w:szCs w:val="24"/>
    </w:rPr>
  </w:style>
  <w:style w:type="paragraph" w:styleId="inVerseTesto">
    <w:name w:val="inVerse Testo"/>
    <w:basedOn w:val="Normal"/>
    <w:next w:val="Normal"/>
    <w:qFormat/>
    <w:pPr>
      <w:spacing w:before="120" w:after="120"/>
    </w:pPr>
    <w:rPr>
      <w:rFonts w:ascii="Times New Roman" w:hAnsi="Times New Roman" w:cs="Times New Roman" w:eastAsia="Times New Roman"/>
      <w:sz w:val="24"/>
      <w:szCs w:val="24"/>
    </w:rPr>
  </w:style>
  <w:style w:type="paragraph" w:styleId="inVerseRiferimenti">
    <w:name w:val="inVerse Riferimenti biblici"/>
    <w:basedOn w:val="Normal"/>
    <w:next w:val="Normal"/>
    <w:qFormat/>
    <w:pPr>
      <w:spacing w:before="0" w:after="0"/>
    </w:pPr>
    <w:rPr>
      <w:rFonts w:ascii="Times New Roman" w:hAnsi="Times New Roman" w:cs="Times New Roman" w:eastAsia="Times New Roman"/>
      <w:sz w:val="24"/>
      <w:szCs w:val="24"/>
    </w:rPr>
  </w:style>
  <w:style w:type="paragraph" w:styleId="inVerseDomanda">
    <w:name w:val="inVerse Domanda numerata"/>
    <w:basedOn w:val="Normal"/>
    <w:next w:val="Normal"/>
    <w:qFormat/>
    <w:pPr>
      <w:spacing w:before="0" w:after="60"/>
      <w:ind w:start="454" w:left="454"/>
    </w:pPr>
    <w:rPr>
      <w:rFonts w:ascii="Times New Roman" w:hAnsi="Times New Roman" w:cs="Times New Roman" w:eastAsia="Times New Roman"/>
      <w:sz w:val="24"/>
      <w:szCs w:val="24"/>
    </w:rPr>
  </w:style>
  <w:style w:type="paragraph" w:styleId="inVerseElenco">
    <w:name w:val="inVerse Elenco"/>
    <w:basedOn w:val="Normal"/>
    <w:next w:val="Normal"/>
    <w:qFormat/>
    <w:pPr>
      <w:spacing w:before="0" w:after="60"/>
      <w:ind w:start="284" w:left="284" w:hanging="284"/>
    </w:pPr>
    <w:rPr>
      <w:rFonts w:ascii="Times New Roman" w:hAnsi="Times New Roman" w:cs="Times New Roman" w:eastAsia="Times New Roman"/>
      <w:sz w:val="24"/>
      <w:szCs w:val="24"/>
    </w:rPr>
  </w:style>
  <w:style w:type="paragraph" w:styleId="inVerseNota">
    <w:name w:val="inVerse Nota"/>
    <w:basedOn w:val="Normal"/>
    <w:next w:val="Normal"/>
    <w:qFormat/>
    <w:pPr>
      <w:spacing w:before="280" w:after="0"/>
    </w:pPr>
    <w:rPr>
      <w:rFonts w:ascii="Times New Roman" w:hAnsi="Times New Roman" w:cs="Times New Roman" w:eastAsia="Times New Roman"/>
      <w:sz w:val="20"/>
      <w:szCs w:val="20"/>
    </w:rPr>
  </w:style>
  <w:style w:type="paragraph" w:styleId="inVerseTabella">
    <w:name w:val="inVerse Testo tabella"/>
    <w:basedOn w:val="Normal"/>
    <w:next w:val="Normal"/>
    <w:qFormat/>
    <w:pPr>
      <w:spacing w:before="0" w:after="0"/>
    </w:pPr>
    <w:rPr>
      <w:rFonts w:ascii="Times New Roman" w:hAnsi="Times New Roman" w:cs="Times New Roman" w:eastAsia="Times New Roman"/>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header" Target="head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2019-09-23T21:30:00Z</dcterms:created>
  <dc:creator>Marty</dc:creator>
  <dc:description/>
  <cp:keywords/>
  <dc:language>en-US</dc:language>
  <cp:lastModifiedBy>user</cp:lastModifiedBy>
  <cp:lastPrinted>2015-12-30T07:45:00Z</cp:lastPrinted>
  <dcterms:modified xsi:type="dcterms:W3CDTF">2026-08-30T09:19:00Z</dcterms:modified>
  <cp:revision>2</cp:revision>
  <dc:subject/>
  <dc:title>Sabato</dc:title>
</cp:coreProperties>
</file>